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42FB" w14:textId="77777777" w:rsidR="005649BB" w:rsidRDefault="005649BB" w:rsidP="00213A3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14:paraId="29EFDBF5" w14:textId="7D2906B2" w:rsidR="007230F1" w:rsidRDefault="00977653" w:rsidP="00213A3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52F378FF" wp14:editId="6175AE18">
            <wp:extent cx="1885950" cy="712001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_FR_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63" cy="71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564">
        <w:rPr>
          <w:rFonts w:asciiTheme="minorHAnsi" w:hAnsiTheme="minorHAnsi" w:cs="Arial"/>
          <w:b/>
          <w:bCs/>
          <w:sz w:val="22"/>
          <w:szCs w:val="22"/>
        </w:rPr>
        <w:tab/>
      </w:r>
      <w:r w:rsidR="002D3564"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2F7A8313" w14:textId="6F3DBA95" w:rsidR="00EF2293" w:rsidRDefault="00EF2293" w:rsidP="00213A3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B7EFE">
        <w:rPr>
          <w:rFonts w:asciiTheme="minorHAnsi" w:hAnsiTheme="minorHAnsi" w:cs="Arial"/>
          <w:b/>
          <w:bCs/>
          <w:sz w:val="22"/>
          <w:szCs w:val="22"/>
        </w:rPr>
        <w:t>Communiqué de presse</w:t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="007230F1">
        <w:rPr>
          <w:rFonts w:asciiTheme="minorHAnsi" w:hAnsiTheme="minorHAnsi" w:cs="Arial"/>
          <w:b/>
          <w:bCs/>
          <w:sz w:val="22"/>
          <w:szCs w:val="22"/>
        </w:rPr>
        <w:tab/>
      </w:r>
      <w:r w:rsidRPr="00451A35">
        <w:rPr>
          <w:rFonts w:asciiTheme="minorHAnsi" w:hAnsiTheme="minorHAnsi" w:cs="Arial"/>
          <w:sz w:val="22"/>
          <w:szCs w:val="22"/>
        </w:rPr>
        <w:t xml:space="preserve">Liège, le </w:t>
      </w:r>
      <w:r w:rsidR="004E4656">
        <w:rPr>
          <w:rFonts w:asciiTheme="minorHAnsi" w:hAnsiTheme="minorHAnsi" w:cs="Arial"/>
          <w:sz w:val="22"/>
          <w:szCs w:val="22"/>
        </w:rPr>
        <w:t>25</w:t>
      </w:r>
      <w:r w:rsidR="00C73408">
        <w:rPr>
          <w:rFonts w:asciiTheme="minorHAnsi" w:hAnsiTheme="minorHAnsi" w:cs="Arial"/>
          <w:sz w:val="22"/>
          <w:szCs w:val="22"/>
        </w:rPr>
        <w:t xml:space="preserve"> mars 2024</w:t>
      </w:r>
    </w:p>
    <w:p w14:paraId="64A6C60E" w14:textId="6D08FB72" w:rsidR="00213A30" w:rsidRDefault="00213A30" w:rsidP="00213A3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080A3AF" w14:textId="6B5C2460" w:rsidR="00B53425" w:rsidRPr="002D1856" w:rsidRDefault="00145E4A" w:rsidP="00A4501E">
      <w:pPr>
        <w:pStyle w:val="Chapitre"/>
        <w:spacing w:after="0" w:line="240" w:lineRule="auto"/>
        <w:jc w:val="center"/>
        <w:rPr>
          <w:rFonts w:cs="Arial"/>
        </w:rPr>
      </w:pPr>
      <w:r>
        <w:rPr>
          <w:rFonts w:cs="Arial"/>
        </w:rPr>
        <w:t>Port autonome de Liège</w:t>
      </w:r>
      <w:r w:rsidR="00C82975">
        <w:rPr>
          <w:rFonts w:cs="Arial"/>
        </w:rPr>
        <w:t xml:space="preserve"> </w:t>
      </w:r>
      <w:r w:rsidR="00E60CD1">
        <w:rPr>
          <w:rFonts w:cs="Arial"/>
        </w:rPr>
        <w:t xml:space="preserve">: </w:t>
      </w:r>
      <w:r w:rsidR="00A4501E">
        <w:rPr>
          <w:rFonts w:cs="Arial"/>
        </w:rPr>
        <w:t xml:space="preserve"> </w:t>
      </w:r>
      <w:r w:rsidR="00A4501E">
        <w:rPr>
          <w:rFonts w:cs="Arial"/>
        </w:rPr>
        <w:br/>
      </w:r>
      <w:r w:rsidR="00B53425">
        <w:rPr>
          <w:rFonts w:cs="Arial"/>
        </w:rPr>
        <w:t>baisse des trafics en 2023</w:t>
      </w:r>
      <w:r w:rsidR="00857621">
        <w:rPr>
          <w:rFonts w:cs="Arial"/>
        </w:rPr>
        <w:t xml:space="preserve"> </w:t>
      </w:r>
      <w:r w:rsidR="00A4501E">
        <w:rPr>
          <w:rFonts w:cs="Arial"/>
        </w:rPr>
        <w:t xml:space="preserve">&amp; </w:t>
      </w:r>
      <w:r w:rsidR="00857621">
        <w:rPr>
          <w:rFonts w:cs="Arial"/>
        </w:rPr>
        <w:t>maintien des investissements en 2024</w:t>
      </w:r>
    </w:p>
    <w:p w14:paraId="4B0903AB" w14:textId="77777777" w:rsidR="009A618C" w:rsidRDefault="009A618C" w:rsidP="00972F39">
      <w:pPr>
        <w:pStyle w:val="Body"/>
        <w:spacing w:after="0"/>
        <w:rPr>
          <w:sz w:val="22"/>
          <w:szCs w:val="22"/>
        </w:rPr>
      </w:pPr>
    </w:p>
    <w:p w14:paraId="457E3632" w14:textId="1A81092E" w:rsidR="00D3355D" w:rsidRPr="00BB0312" w:rsidRDefault="00D3355D" w:rsidP="00D3355D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fr-BE"/>
        </w:rPr>
      </w:pPr>
      <w:r w:rsidRPr="00AA2432">
        <w:rPr>
          <w:rFonts w:eastAsia="Times New Roman" w:cstheme="minorHAnsi"/>
          <w:b/>
          <w:bCs/>
          <w:kern w:val="36"/>
          <w:lang w:eastAsia="fr-BE"/>
        </w:rPr>
        <w:t>L’année 2023 a été particulièrement difficile, marquée</w:t>
      </w:r>
      <w:r w:rsidR="00E04675" w:rsidRPr="00AA2432">
        <w:rPr>
          <w:rFonts w:eastAsia="Times New Roman" w:cstheme="minorHAnsi"/>
          <w:b/>
          <w:bCs/>
          <w:kern w:val="36"/>
          <w:lang w:eastAsia="fr-BE"/>
        </w:rPr>
        <w:t xml:space="preserve"> par</w:t>
      </w:r>
      <w:r w:rsidRPr="00AA2432">
        <w:rPr>
          <w:rFonts w:eastAsia="Times New Roman" w:cstheme="minorHAnsi"/>
          <w:b/>
          <w:bCs/>
          <w:kern w:val="36"/>
          <w:lang w:eastAsia="fr-BE"/>
        </w:rPr>
        <w:t xml:space="preserve"> </w:t>
      </w:r>
      <w:r w:rsidR="00E04675" w:rsidRPr="00AA2432">
        <w:rPr>
          <w:rFonts w:eastAsia="Times New Roman" w:cstheme="minorHAnsi"/>
          <w:b/>
          <w:bCs/>
          <w:kern w:val="36"/>
          <w:lang w:eastAsia="fr-BE"/>
        </w:rPr>
        <w:t xml:space="preserve">le ralentissement de la croissance économique </w:t>
      </w:r>
      <w:r w:rsidR="00645EB7" w:rsidRPr="00AA2432">
        <w:rPr>
          <w:rFonts w:eastAsia="Times New Roman" w:cstheme="minorHAnsi"/>
          <w:b/>
          <w:bCs/>
          <w:kern w:val="36"/>
          <w:lang w:eastAsia="fr-BE"/>
        </w:rPr>
        <w:t>mondiale</w:t>
      </w:r>
      <w:r w:rsidR="00E04675" w:rsidRPr="00AA2432">
        <w:rPr>
          <w:rFonts w:eastAsia="Times New Roman" w:cstheme="minorHAnsi"/>
          <w:b/>
          <w:bCs/>
          <w:kern w:val="36"/>
          <w:lang w:eastAsia="fr-BE"/>
        </w:rPr>
        <w:t xml:space="preserve"> et par </w:t>
      </w:r>
      <w:r w:rsidRPr="00AA2432">
        <w:rPr>
          <w:rFonts w:eastAsia="Times New Roman" w:cstheme="minorHAnsi"/>
          <w:b/>
          <w:bCs/>
          <w:kern w:val="36"/>
          <w:lang w:eastAsia="fr-BE"/>
        </w:rPr>
        <w:t xml:space="preserve">l’instabilité géopolitique liée notamment à la guerre en Ukraine. </w:t>
      </w:r>
      <w:r w:rsidR="00A5664E" w:rsidRPr="00AA2432">
        <w:rPr>
          <w:rFonts w:eastAsia="Times New Roman" w:cstheme="minorHAnsi"/>
          <w:b/>
          <w:bCs/>
          <w:kern w:val="36"/>
          <w:lang w:eastAsia="fr-BE"/>
        </w:rPr>
        <w:t xml:space="preserve">Ces situations ont </w:t>
      </w:r>
      <w:r w:rsidRPr="00AA2432">
        <w:rPr>
          <w:rFonts w:eastAsia="Times New Roman" w:cstheme="minorHAnsi"/>
          <w:b/>
          <w:bCs/>
          <w:kern w:val="36"/>
          <w:lang w:eastAsia="fr-BE"/>
        </w:rPr>
        <w:t xml:space="preserve">impacté l’activité du </w:t>
      </w:r>
      <w:r w:rsidR="008B6B5B" w:rsidRPr="00AA2432">
        <w:rPr>
          <w:rFonts w:eastAsia="Times New Roman" w:cstheme="minorHAnsi"/>
          <w:b/>
          <w:bCs/>
          <w:kern w:val="36"/>
          <w:lang w:eastAsia="fr-BE"/>
        </w:rPr>
        <w:t>Port autonome de Liège</w:t>
      </w:r>
      <w:r w:rsidRPr="00AA2432">
        <w:rPr>
          <w:rFonts w:eastAsia="Times New Roman" w:cstheme="minorHAnsi"/>
          <w:b/>
          <w:bCs/>
          <w:kern w:val="36"/>
          <w:lang w:eastAsia="fr-BE"/>
        </w:rPr>
        <w:t>. Toutefois, comme le souligne Yves Demeffe, Directeur général a.i. du Port autonome de Liège, le Port poursuit divers projets</w:t>
      </w:r>
      <w:r w:rsidR="008B6B5B" w:rsidRPr="00AA2432">
        <w:rPr>
          <w:rFonts w:eastAsia="Times New Roman" w:cstheme="minorHAnsi"/>
          <w:b/>
          <w:bCs/>
          <w:kern w:val="36"/>
          <w:lang w:eastAsia="fr-BE"/>
        </w:rPr>
        <w:t xml:space="preserve"> et maintient ses investissements en 2024</w:t>
      </w:r>
      <w:r w:rsidRPr="00AA2432">
        <w:rPr>
          <w:rFonts w:eastAsia="Times New Roman" w:cstheme="minorHAnsi"/>
          <w:b/>
          <w:bCs/>
          <w:kern w:val="36"/>
          <w:lang w:eastAsia="fr-BE"/>
        </w:rPr>
        <w:t xml:space="preserve"> pour </w:t>
      </w:r>
      <w:r w:rsidR="008B6B5B" w:rsidRPr="00AA2432">
        <w:rPr>
          <w:rFonts w:eastAsia="Times New Roman" w:cstheme="minorHAnsi"/>
          <w:b/>
          <w:bCs/>
          <w:kern w:val="36"/>
          <w:lang w:eastAsia="fr-BE"/>
        </w:rPr>
        <w:t xml:space="preserve">renforcer </w:t>
      </w:r>
      <w:r w:rsidRPr="00AA2432">
        <w:rPr>
          <w:rFonts w:eastAsia="Times New Roman" w:cstheme="minorHAnsi"/>
          <w:b/>
          <w:bCs/>
          <w:kern w:val="36"/>
          <w:lang w:eastAsia="fr-BE"/>
        </w:rPr>
        <w:t xml:space="preserve">la multimodalité et l’attractivité économique de </w:t>
      </w:r>
      <w:r w:rsidR="008B6B5B" w:rsidRPr="00AA2432">
        <w:rPr>
          <w:rFonts w:eastAsia="Times New Roman" w:cstheme="minorHAnsi"/>
          <w:b/>
          <w:bCs/>
          <w:kern w:val="36"/>
          <w:lang w:eastAsia="fr-BE"/>
        </w:rPr>
        <w:t>la région liégeoise</w:t>
      </w:r>
      <w:r w:rsidRPr="00BB0312">
        <w:rPr>
          <w:rFonts w:eastAsia="Times New Roman" w:cstheme="minorHAnsi"/>
          <w:b/>
          <w:bCs/>
          <w:kern w:val="36"/>
          <w:lang w:eastAsia="fr-BE"/>
        </w:rPr>
        <w:t>.</w:t>
      </w:r>
    </w:p>
    <w:p w14:paraId="5473A4A8" w14:textId="77777777" w:rsidR="00E04675" w:rsidRDefault="00E04675" w:rsidP="00D3355D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lang w:eastAsia="fr-BE"/>
        </w:rPr>
      </w:pPr>
    </w:p>
    <w:p w14:paraId="477306BE" w14:textId="5D32A5B1" w:rsidR="00145E4A" w:rsidRPr="00145E4A" w:rsidRDefault="00D3355D" w:rsidP="008F4571">
      <w:pPr>
        <w:spacing w:after="0" w:line="240" w:lineRule="auto"/>
        <w:jc w:val="both"/>
      </w:pPr>
      <w:r>
        <w:t>Les perturbations</w:t>
      </w:r>
      <w:r w:rsidR="008F4571">
        <w:t xml:space="preserve"> se décline</w:t>
      </w:r>
      <w:r>
        <w:t>nt</w:t>
      </w:r>
      <w:r w:rsidR="008F4571">
        <w:t xml:space="preserve"> sur les diverses catégories de trafics. </w:t>
      </w:r>
    </w:p>
    <w:p w14:paraId="02116F0E" w14:textId="7E9201D1" w:rsidR="00CE6E68" w:rsidRDefault="006D645E" w:rsidP="00CE6E68">
      <w:pPr>
        <w:pStyle w:val="Body"/>
        <w:numPr>
          <w:ilvl w:val="0"/>
          <w:numId w:val="2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Plus de 16 </w:t>
      </w:r>
      <w:r w:rsidR="00941066" w:rsidRPr="002F2877">
        <w:rPr>
          <w:sz w:val="22"/>
          <w:szCs w:val="22"/>
        </w:rPr>
        <w:t xml:space="preserve">millions de tonnes de marchandises ont </w:t>
      </w:r>
      <w:r w:rsidR="00201A79">
        <w:rPr>
          <w:sz w:val="22"/>
          <w:szCs w:val="22"/>
        </w:rPr>
        <w:t xml:space="preserve">ainsi </w:t>
      </w:r>
      <w:r w:rsidR="00941066" w:rsidRPr="002F2877">
        <w:rPr>
          <w:sz w:val="22"/>
          <w:szCs w:val="22"/>
        </w:rPr>
        <w:t xml:space="preserve">transité </w:t>
      </w:r>
      <w:r w:rsidR="009A618C">
        <w:rPr>
          <w:sz w:val="22"/>
          <w:szCs w:val="22"/>
        </w:rPr>
        <w:t xml:space="preserve">en 2023 </w:t>
      </w:r>
      <w:r w:rsidR="00941066" w:rsidRPr="002F2877">
        <w:rPr>
          <w:sz w:val="22"/>
          <w:szCs w:val="22"/>
        </w:rPr>
        <w:t xml:space="preserve">par les 33 zones portuaires liégeoises, soit une baisse de </w:t>
      </w:r>
      <w:r>
        <w:rPr>
          <w:sz w:val="22"/>
          <w:szCs w:val="22"/>
        </w:rPr>
        <w:t>14</w:t>
      </w:r>
      <w:r w:rsidR="009B5F6C">
        <w:rPr>
          <w:sz w:val="22"/>
          <w:szCs w:val="22"/>
        </w:rPr>
        <w:t xml:space="preserve">,5 </w:t>
      </w:r>
      <w:r w:rsidR="00941066" w:rsidRPr="002F2877">
        <w:rPr>
          <w:sz w:val="22"/>
          <w:szCs w:val="22"/>
        </w:rPr>
        <w:t xml:space="preserve">% par rapport à </w:t>
      </w:r>
      <w:r w:rsidR="009A618C">
        <w:rPr>
          <w:sz w:val="22"/>
          <w:szCs w:val="22"/>
        </w:rPr>
        <w:t xml:space="preserve">2022 </w:t>
      </w:r>
      <w:r w:rsidR="00941066" w:rsidRPr="002F2877">
        <w:rPr>
          <w:sz w:val="22"/>
          <w:szCs w:val="22"/>
        </w:rPr>
        <w:t>(-</w:t>
      </w:r>
      <w:r>
        <w:rPr>
          <w:sz w:val="22"/>
          <w:szCs w:val="22"/>
        </w:rPr>
        <w:t>2</w:t>
      </w:r>
      <w:r w:rsidR="008D2A03">
        <w:rPr>
          <w:sz w:val="22"/>
          <w:szCs w:val="22"/>
        </w:rPr>
        <w:t>.770.</w:t>
      </w:r>
      <w:r w:rsidR="009B5F6C">
        <w:rPr>
          <w:sz w:val="22"/>
          <w:szCs w:val="22"/>
        </w:rPr>
        <w:t>151</w:t>
      </w:r>
      <w:r>
        <w:rPr>
          <w:sz w:val="22"/>
          <w:szCs w:val="22"/>
        </w:rPr>
        <w:t xml:space="preserve"> </w:t>
      </w:r>
      <w:r w:rsidR="007352A2" w:rsidRPr="002F2877">
        <w:rPr>
          <w:sz w:val="22"/>
          <w:szCs w:val="22"/>
        </w:rPr>
        <w:t>tonnes</w:t>
      </w:r>
      <w:r w:rsidR="007352A2">
        <w:rPr>
          <w:sz w:val="22"/>
          <w:szCs w:val="22"/>
        </w:rPr>
        <w:t>)</w:t>
      </w:r>
      <w:r w:rsidR="006B2ACC">
        <w:rPr>
          <w:sz w:val="22"/>
          <w:szCs w:val="22"/>
        </w:rPr>
        <w:t xml:space="preserve"> (trafic global eau-rail-route) ; </w:t>
      </w:r>
    </w:p>
    <w:p w14:paraId="4589AEEB" w14:textId="6BB9213A" w:rsidR="00B10190" w:rsidRPr="00CE6E68" w:rsidRDefault="00B10190" w:rsidP="00B10190">
      <w:pPr>
        <w:pStyle w:val="Body"/>
        <w:numPr>
          <w:ilvl w:val="0"/>
          <w:numId w:val="2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</w:t>
      </w:r>
      <w:r w:rsidRPr="00CE6E68">
        <w:rPr>
          <w:sz w:val="22"/>
          <w:szCs w:val="22"/>
        </w:rPr>
        <w:t xml:space="preserve"> l’instar des ports maritimes et d’autres ports intérieurs européens, le trafic de conteneurs enregistre une diminution plus limitée</w:t>
      </w:r>
      <w:r>
        <w:rPr>
          <w:sz w:val="22"/>
          <w:szCs w:val="22"/>
        </w:rPr>
        <w:t xml:space="preserve"> de 7%</w:t>
      </w:r>
      <w:r w:rsidRPr="00CE6E68">
        <w:rPr>
          <w:sz w:val="22"/>
          <w:szCs w:val="22"/>
        </w:rPr>
        <w:t xml:space="preserve"> avec près de 83.431 EVP (équivalents-vingt-pieds</w:t>
      </w:r>
      <w:r w:rsidR="00A1749A">
        <w:rPr>
          <w:sz w:val="22"/>
          <w:szCs w:val="22"/>
        </w:rPr>
        <w:t xml:space="preserve"> - </w:t>
      </w:r>
      <w:r w:rsidR="00A1749A" w:rsidRPr="00C83269">
        <w:t>mesure de référence du secteur</w:t>
      </w:r>
      <w:r w:rsidRPr="00CE6E68">
        <w:rPr>
          <w:sz w:val="22"/>
          <w:szCs w:val="22"/>
        </w:rPr>
        <w:t>) manutentionnés sur les trois terminaux à conteneurs du Port de Liège</w:t>
      </w:r>
      <w:r>
        <w:rPr>
          <w:sz w:val="22"/>
          <w:szCs w:val="22"/>
        </w:rPr>
        <w:t xml:space="preserve">. Elément positif, on constate une </w:t>
      </w:r>
      <w:r w:rsidRPr="00CE6E68">
        <w:rPr>
          <w:sz w:val="22"/>
          <w:szCs w:val="22"/>
        </w:rPr>
        <w:t>augmentation de la valeur ajoutée</w:t>
      </w:r>
      <w:r>
        <w:rPr>
          <w:sz w:val="22"/>
          <w:szCs w:val="22"/>
        </w:rPr>
        <w:t xml:space="preserve"> des marchandises transportées.</w:t>
      </w:r>
      <w:r w:rsidRPr="00CE6E68">
        <w:rPr>
          <w:sz w:val="22"/>
          <w:szCs w:val="22"/>
        </w:rPr>
        <w:t xml:space="preserve"> </w:t>
      </w:r>
    </w:p>
    <w:p w14:paraId="1F041689" w14:textId="15EFCA7B" w:rsidR="00CE6E68" w:rsidRDefault="00B10190" w:rsidP="00972F39">
      <w:pPr>
        <w:pStyle w:val="Body"/>
        <w:numPr>
          <w:ilvl w:val="0"/>
          <w:numId w:val="2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Pour 2023, l</w:t>
      </w:r>
      <w:r w:rsidR="00A76E01" w:rsidRPr="002F2877">
        <w:rPr>
          <w:sz w:val="22"/>
          <w:szCs w:val="22"/>
        </w:rPr>
        <w:t>e trafic fluvial s’établi à 1</w:t>
      </w:r>
      <w:r w:rsidR="009A618C">
        <w:rPr>
          <w:sz w:val="22"/>
          <w:szCs w:val="22"/>
        </w:rPr>
        <w:t>1.7</w:t>
      </w:r>
      <w:r w:rsidR="00A76E01" w:rsidRPr="002F2877">
        <w:rPr>
          <w:sz w:val="22"/>
          <w:szCs w:val="22"/>
        </w:rPr>
        <w:t xml:space="preserve"> millions de tonnes, en baisse de </w:t>
      </w:r>
      <w:r w:rsidR="009A618C">
        <w:rPr>
          <w:sz w:val="22"/>
          <w:szCs w:val="22"/>
        </w:rPr>
        <w:t>19</w:t>
      </w:r>
      <w:r w:rsidR="00A76E01" w:rsidRPr="002F2877">
        <w:rPr>
          <w:sz w:val="22"/>
          <w:szCs w:val="22"/>
        </w:rPr>
        <w:t>%</w:t>
      </w:r>
      <w:r>
        <w:rPr>
          <w:sz w:val="22"/>
          <w:szCs w:val="22"/>
        </w:rPr>
        <w:t>.</w:t>
      </w:r>
      <w:r w:rsidR="006B2ACC">
        <w:rPr>
          <w:sz w:val="22"/>
          <w:szCs w:val="22"/>
        </w:rPr>
        <w:t xml:space="preserve"> </w:t>
      </w:r>
    </w:p>
    <w:p w14:paraId="01307774" w14:textId="77777777" w:rsidR="00C32FCE" w:rsidRDefault="00C32FCE" w:rsidP="00972F39">
      <w:pPr>
        <w:pStyle w:val="Body"/>
        <w:spacing w:after="0"/>
        <w:rPr>
          <w:sz w:val="22"/>
          <w:szCs w:val="22"/>
        </w:rPr>
      </w:pPr>
    </w:p>
    <w:p w14:paraId="543A76DF" w14:textId="73987715" w:rsidR="00BE6D9B" w:rsidRDefault="00B10190" w:rsidP="00BE6D9B">
      <w:pPr>
        <w:spacing w:after="0" w:line="240" w:lineRule="auto"/>
        <w:jc w:val="both"/>
      </w:pPr>
      <w:r>
        <w:t>Tous les indicateurs économiques ne sont pas en berne puisque l</w:t>
      </w:r>
      <w:r w:rsidR="00BE6D9B" w:rsidRPr="002F2877">
        <w:t xml:space="preserve">a plate-forme multimodale </w:t>
      </w:r>
      <w:r w:rsidR="00BE6D9B" w:rsidRPr="001624E5">
        <w:rPr>
          <w:bCs/>
        </w:rPr>
        <w:t xml:space="preserve">Liège Trilogiport </w:t>
      </w:r>
      <w:r w:rsidR="00BE6D9B" w:rsidRPr="002F2877">
        <w:t xml:space="preserve">a poursuivi son </w:t>
      </w:r>
      <w:r w:rsidR="00B53425">
        <w:t xml:space="preserve">développement </w:t>
      </w:r>
      <w:r w:rsidR="00BE6D9B" w:rsidRPr="002F2877">
        <w:t xml:space="preserve">en </w:t>
      </w:r>
      <w:r w:rsidR="00BE6D9B">
        <w:t>2023</w:t>
      </w:r>
      <w:r w:rsidR="00BE6D9B" w:rsidRPr="002F2877">
        <w:t xml:space="preserve">. </w:t>
      </w:r>
      <w:r w:rsidR="00201A79">
        <w:rPr>
          <w:rFonts w:cstheme="minorHAnsi"/>
        </w:rPr>
        <w:t xml:space="preserve">Le </w:t>
      </w:r>
      <w:r w:rsidR="00201A79" w:rsidRPr="002F2877">
        <w:rPr>
          <w:rFonts w:cstheme="minorHAnsi"/>
        </w:rPr>
        <w:t xml:space="preserve">terminal à conteneurs </w:t>
      </w:r>
      <w:r w:rsidR="00201A79">
        <w:rPr>
          <w:rFonts w:cstheme="minorHAnsi"/>
        </w:rPr>
        <w:t xml:space="preserve">vient </w:t>
      </w:r>
      <w:r w:rsidR="001105E6">
        <w:rPr>
          <w:rFonts w:cstheme="minorHAnsi"/>
        </w:rPr>
        <w:t>d’</w:t>
      </w:r>
      <w:r w:rsidR="00201A79" w:rsidRPr="002F2877">
        <w:rPr>
          <w:rFonts w:cstheme="minorHAnsi"/>
        </w:rPr>
        <w:t>être doté de 5</w:t>
      </w:r>
      <w:r w:rsidR="00201A79">
        <w:rPr>
          <w:rFonts w:cstheme="minorHAnsi"/>
        </w:rPr>
        <w:t>,5</w:t>
      </w:r>
      <w:r w:rsidR="00201A79" w:rsidRPr="002F2877">
        <w:rPr>
          <w:rFonts w:cstheme="minorHAnsi"/>
        </w:rPr>
        <w:t xml:space="preserve"> hectares supplémentaires</w:t>
      </w:r>
      <w:r w:rsidR="008D3F8E">
        <w:rPr>
          <w:rFonts w:cstheme="minorHAnsi"/>
        </w:rPr>
        <w:t xml:space="preserve"> </w:t>
      </w:r>
      <w:r w:rsidR="008D3F8E" w:rsidRPr="008D3F8E">
        <w:rPr>
          <w:rFonts w:cstheme="minorHAnsi"/>
        </w:rPr>
        <w:t>(</w:t>
      </w:r>
      <w:r w:rsidR="008D3F8E" w:rsidRPr="008D3F8E">
        <w:rPr>
          <w:rFonts w:cs="Calibri"/>
        </w:rPr>
        <w:t>9,2 millions d’euros</w:t>
      </w:r>
      <w:r w:rsidR="008D3F8E" w:rsidRPr="008D3F8E">
        <w:rPr>
          <w:rFonts w:cs="Calibri"/>
        </w:rPr>
        <w:t>)</w:t>
      </w:r>
      <w:r w:rsidR="00201A79" w:rsidRPr="008D3F8E">
        <w:rPr>
          <w:rFonts w:cstheme="minorHAnsi"/>
        </w:rPr>
        <w:t>.</w:t>
      </w:r>
      <w:r w:rsidR="00201A79" w:rsidRPr="002F2877">
        <w:rPr>
          <w:rFonts w:cstheme="minorHAnsi"/>
        </w:rPr>
        <w:t xml:space="preserve"> Cette extension, finalisée </w:t>
      </w:r>
      <w:r w:rsidR="00107D73">
        <w:rPr>
          <w:rFonts w:cstheme="minorHAnsi"/>
        </w:rPr>
        <w:t xml:space="preserve">à l’automne </w:t>
      </w:r>
      <w:r w:rsidR="00201A79" w:rsidRPr="002F2877">
        <w:rPr>
          <w:rFonts w:cstheme="minorHAnsi"/>
        </w:rPr>
        <w:t xml:space="preserve">2023, </w:t>
      </w:r>
      <w:r w:rsidR="00201A79">
        <w:rPr>
          <w:rFonts w:cstheme="minorHAnsi"/>
        </w:rPr>
        <w:t xml:space="preserve">permet </w:t>
      </w:r>
      <w:r w:rsidR="00201A79" w:rsidRPr="002F2877">
        <w:rPr>
          <w:rFonts w:cstheme="minorHAnsi"/>
        </w:rPr>
        <w:t>à la société DPW Li</w:t>
      </w:r>
      <w:r>
        <w:rPr>
          <w:rFonts w:cstheme="minorHAnsi"/>
        </w:rPr>
        <w:t>è</w:t>
      </w:r>
      <w:r w:rsidR="00201A79" w:rsidRPr="002F2877">
        <w:rPr>
          <w:rFonts w:cstheme="minorHAnsi"/>
        </w:rPr>
        <w:t xml:space="preserve">ge Container Terminals de répondre aux besoins de ses clients et d’accroître ses activités liées au transport de conteneurs. </w:t>
      </w:r>
      <w:r w:rsidR="00201A79">
        <w:t xml:space="preserve">Les </w:t>
      </w:r>
      <w:r w:rsidR="00E60CD1">
        <w:t xml:space="preserve">divers </w:t>
      </w:r>
      <w:r w:rsidR="00BE6D9B" w:rsidRPr="002F2877">
        <w:t xml:space="preserve">halls logistiques </w:t>
      </w:r>
      <w:r w:rsidR="00201A79">
        <w:t xml:space="preserve">construits sont </w:t>
      </w:r>
      <w:r w:rsidR="00BE6D9B" w:rsidRPr="002F2877">
        <w:t>totalement opérationnels</w:t>
      </w:r>
      <w:r w:rsidR="00201A79">
        <w:t xml:space="preserve"> (</w:t>
      </w:r>
      <w:r w:rsidR="00BE6D9B" w:rsidRPr="002F2877">
        <w:t xml:space="preserve">superficie totale </w:t>
      </w:r>
      <w:r w:rsidR="00BE6D9B">
        <w:t>de près de 240.000 m²</w:t>
      </w:r>
      <w:r w:rsidR="00256FFD">
        <w:t>,</w:t>
      </w:r>
      <w:r w:rsidR="00BE6D9B">
        <w:t xml:space="preserve"> </w:t>
      </w:r>
      <w:r w:rsidR="00BE6D9B" w:rsidRPr="002F2877">
        <w:t xml:space="preserve">soit </w:t>
      </w:r>
      <w:r w:rsidR="00822619">
        <w:t>les 3/4</w:t>
      </w:r>
      <w:r w:rsidR="00BE6D9B">
        <w:t xml:space="preserve"> </w:t>
      </w:r>
      <w:r w:rsidR="00BE6D9B" w:rsidRPr="002F2877">
        <w:t xml:space="preserve">de la plate-forme </w:t>
      </w:r>
      <w:r w:rsidR="00BE6D9B">
        <w:t>en activité</w:t>
      </w:r>
      <w:r w:rsidR="00201A79">
        <w:t xml:space="preserve">). </w:t>
      </w:r>
      <w:r w:rsidR="00BE6D9B" w:rsidRPr="002F2877">
        <w:t xml:space="preserve">La construction </w:t>
      </w:r>
      <w:r w:rsidR="00BE6D9B">
        <w:t xml:space="preserve">du dernier hall logistique </w:t>
      </w:r>
      <w:r w:rsidR="00127B0A">
        <w:t>(</w:t>
      </w:r>
      <w:r w:rsidR="006B1E96">
        <w:t>76</w:t>
      </w:r>
      <w:r w:rsidR="00BE6D9B" w:rsidRPr="002F2877">
        <w:t xml:space="preserve">.000m² </w:t>
      </w:r>
      <w:r w:rsidR="00127B0A">
        <w:t xml:space="preserve">- </w:t>
      </w:r>
      <w:r w:rsidR="00BE6D9B" w:rsidRPr="002F2877">
        <w:t>Jost Group</w:t>
      </w:r>
      <w:r w:rsidR="00E60CD1">
        <w:t xml:space="preserve">) </w:t>
      </w:r>
      <w:r w:rsidR="00BE6D9B">
        <w:t xml:space="preserve">sera </w:t>
      </w:r>
      <w:r w:rsidR="00BE6D9B" w:rsidRPr="002F2877">
        <w:t>finalisée</w:t>
      </w:r>
      <w:r w:rsidR="00BE6D9B">
        <w:t xml:space="preserve"> </w:t>
      </w:r>
      <w:r w:rsidR="00107D73">
        <w:t xml:space="preserve">au printemps </w:t>
      </w:r>
      <w:r w:rsidR="00BE6D9B">
        <w:t>2024</w:t>
      </w:r>
      <w:r w:rsidR="00BE6D9B" w:rsidRPr="002F2877">
        <w:t xml:space="preserve">.  </w:t>
      </w:r>
    </w:p>
    <w:p w14:paraId="77180C7B" w14:textId="77777777" w:rsidR="00BE6D9B" w:rsidRDefault="00BE6D9B" w:rsidP="00BE6D9B">
      <w:pPr>
        <w:spacing w:after="0" w:line="240" w:lineRule="auto"/>
        <w:jc w:val="both"/>
      </w:pPr>
    </w:p>
    <w:p w14:paraId="04A4F61D" w14:textId="4A2B21D5" w:rsidR="00AE14CF" w:rsidRPr="00AE14CF" w:rsidRDefault="00AE14CF" w:rsidP="00AE14CF">
      <w:pPr>
        <w:jc w:val="both"/>
        <w:rPr>
          <w:lang w:val="fr-FR"/>
        </w:rPr>
      </w:pPr>
      <w:r w:rsidRPr="00AE14CF">
        <w:rPr>
          <w:lang w:val="fr-FR"/>
        </w:rPr>
        <w:t xml:space="preserve">Le Port autonome de Liège poursuit </w:t>
      </w:r>
      <w:r w:rsidR="009B5F6C">
        <w:rPr>
          <w:lang w:val="fr-FR"/>
        </w:rPr>
        <w:t xml:space="preserve">toutefois </w:t>
      </w:r>
      <w:r w:rsidRPr="00AE14CF">
        <w:rPr>
          <w:lang w:val="fr-FR"/>
        </w:rPr>
        <w:t xml:space="preserve">ses investissements en 2024. Divers projets viendront renforcer ainsi l’offre multimodale du Port de Liège : </w:t>
      </w:r>
    </w:p>
    <w:p w14:paraId="47826777" w14:textId="11657ACC" w:rsidR="00AE14CF" w:rsidRPr="00344C8E" w:rsidRDefault="00AE14CF" w:rsidP="00AE14CF">
      <w:pPr>
        <w:pStyle w:val="Paragraphedeliste"/>
        <w:numPr>
          <w:ilvl w:val="0"/>
          <w:numId w:val="24"/>
        </w:numPr>
        <w:jc w:val="both"/>
        <w:rPr>
          <w:b/>
          <w:bCs/>
          <w:lang w:val="fr-FR"/>
        </w:rPr>
      </w:pPr>
      <w:r w:rsidRPr="00344C8E">
        <w:rPr>
          <w:lang w:val="fr-FR"/>
        </w:rPr>
        <w:t xml:space="preserve">Les travaux de construction d'une dalle d'appontement </w:t>
      </w:r>
      <w:r>
        <w:rPr>
          <w:lang w:val="fr-FR"/>
        </w:rPr>
        <w:t xml:space="preserve">(nouvelle installation d’accostage) </w:t>
      </w:r>
      <w:r w:rsidRPr="00344C8E">
        <w:rPr>
          <w:lang w:val="fr-FR"/>
        </w:rPr>
        <w:t>à Hermalle-sous-Huy, à l'amont du pont, ont démarré en février 2024</w:t>
      </w:r>
      <w:r w:rsidR="00945B6A">
        <w:rPr>
          <w:lang w:val="fr-FR"/>
        </w:rPr>
        <w:t xml:space="preserve">, </w:t>
      </w:r>
    </w:p>
    <w:p w14:paraId="4560EFF2" w14:textId="7DF16CCA" w:rsidR="00AE14CF" w:rsidRPr="00344C8E" w:rsidRDefault="00AE14CF" w:rsidP="00AE14CF">
      <w:pPr>
        <w:pStyle w:val="Paragraphedeliste"/>
        <w:numPr>
          <w:ilvl w:val="0"/>
          <w:numId w:val="24"/>
        </w:numPr>
        <w:jc w:val="both"/>
        <w:rPr>
          <w:b/>
          <w:bCs/>
          <w:lang w:val="fr-FR"/>
        </w:rPr>
      </w:pPr>
      <w:r w:rsidRPr="00344C8E">
        <w:rPr>
          <w:lang w:val="fr-FR"/>
        </w:rPr>
        <w:t xml:space="preserve">Deux études en collaboration avec </w:t>
      </w:r>
      <w:r w:rsidR="003832C9">
        <w:rPr>
          <w:lang w:val="fr-FR"/>
        </w:rPr>
        <w:t>le</w:t>
      </w:r>
      <w:r w:rsidRPr="00344C8E">
        <w:rPr>
          <w:lang w:val="fr-FR"/>
        </w:rPr>
        <w:t xml:space="preserve"> Service public de Wallonie menées en 2024 : </w:t>
      </w:r>
    </w:p>
    <w:p w14:paraId="32E1FED7" w14:textId="77777777" w:rsidR="00AE14CF" w:rsidRDefault="00AE14CF" w:rsidP="00AE14CF">
      <w:pPr>
        <w:pStyle w:val="Paragraphedeliste"/>
        <w:numPr>
          <w:ilvl w:val="1"/>
          <w:numId w:val="24"/>
        </w:numPr>
        <w:spacing w:line="259" w:lineRule="auto"/>
        <w:jc w:val="both"/>
        <w:rPr>
          <w:lang w:val="fr-FR"/>
        </w:rPr>
      </w:pPr>
      <w:r>
        <w:rPr>
          <w:lang w:val="fr-FR"/>
        </w:rPr>
        <w:t>La p</w:t>
      </w:r>
      <w:r w:rsidRPr="009B19F2">
        <w:rPr>
          <w:lang w:val="fr-FR"/>
        </w:rPr>
        <w:t>ose des poteaux d'éclairage et de l'électricité de quai au niveau du nouveau mur de quai aménagé en 2022</w:t>
      </w:r>
      <w:r>
        <w:rPr>
          <w:lang w:val="fr-FR"/>
        </w:rPr>
        <w:t> à Hermalle-sous-Huy (port aval) ;</w:t>
      </w:r>
    </w:p>
    <w:p w14:paraId="22FA5579" w14:textId="77777777" w:rsidR="00AE14CF" w:rsidRDefault="00AE14CF" w:rsidP="00AE14CF">
      <w:pPr>
        <w:pStyle w:val="Paragraphedeliste"/>
        <w:numPr>
          <w:ilvl w:val="1"/>
          <w:numId w:val="24"/>
        </w:numPr>
        <w:spacing w:line="259" w:lineRule="auto"/>
        <w:jc w:val="both"/>
        <w:rPr>
          <w:lang w:val="fr-FR"/>
        </w:rPr>
      </w:pPr>
      <w:r>
        <w:rPr>
          <w:lang w:val="fr-FR"/>
        </w:rPr>
        <w:t>Le remplacement de la plantation de peupliers au port de Flémalle-Haute.</w:t>
      </w:r>
    </w:p>
    <w:p w14:paraId="78ADD4DA" w14:textId="67A76F88" w:rsidR="00AE14CF" w:rsidRPr="00EB3D35" w:rsidRDefault="00AE14CF" w:rsidP="00AE14CF">
      <w:pPr>
        <w:pStyle w:val="Paragraphedeliste"/>
        <w:numPr>
          <w:ilvl w:val="0"/>
          <w:numId w:val="29"/>
        </w:numPr>
        <w:spacing w:after="0" w:line="240" w:lineRule="auto"/>
        <w:contextualSpacing w:val="0"/>
        <w:jc w:val="both"/>
      </w:pPr>
      <w:r w:rsidRPr="00344C8E">
        <w:rPr>
          <w:rFonts w:eastAsia="Times New Roman" w:cs="Calibri"/>
        </w:rPr>
        <w:t xml:space="preserve">Développement du fret ferroviaire, notamment </w:t>
      </w:r>
      <w:r>
        <w:rPr>
          <w:rFonts w:eastAsia="Times New Roman" w:cs="Calibri"/>
        </w:rPr>
        <w:t xml:space="preserve">au </w:t>
      </w:r>
      <w:r w:rsidR="00CE2292">
        <w:rPr>
          <w:rFonts w:eastAsia="Times New Roman" w:cs="Calibri"/>
        </w:rPr>
        <w:t>p</w:t>
      </w:r>
      <w:r>
        <w:rPr>
          <w:rFonts w:eastAsia="Times New Roman" w:cs="Calibri"/>
        </w:rPr>
        <w:t>ort de Monsin</w:t>
      </w:r>
      <w:r w:rsidRPr="00344C8E">
        <w:rPr>
          <w:rFonts w:eastAsia="Times New Roman" w:cs="Calibri"/>
        </w:rPr>
        <w:t xml:space="preserve"> via </w:t>
      </w:r>
      <w:r w:rsidR="00871FF1">
        <w:rPr>
          <w:rFonts w:eastAsia="Times New Roman" w:cs="Calibri"/>
        </w:rPr>
        <w:t>une</w:t>
      </w:r>
      <w:r w:rsidRPr="00344C8E">
        <w:rPr>
          <w:rFonts w:eastAsia="Times New Roman" w:cs="Calibri"/>
        </w:rPr>
        <w:t xml:space="preserve"> nouvelle plate-forme </w:t>
      </w:r>
      <w:r>
        <w:rPr>
          <w:rFonts w:eastAsia="Times New Roman" w:cs="Calibri"/>
        </w:rPr>
        <w:t>bimodale (rail-route)</w:t>
      </w:r>
      <w:r w:rsidR="00871FF1">
        <w:rPr>
          <w:rFonts w:eastAsia="Times New Roman" w:cs="Calibri"/>
        </w:rPr>
        <w:t xml:space="preserve"> située au </w:t>
      </w:r>
      <w:r w:rsidR="00CE2292">
        <w:rPr>
          <w:rFonts w:eastAsia="Times New Roman" w:cs="Calibri"/>
        </w:rPr>
        <w:t>p</w:t>
      </w:r>
      <w:r w:rsidR="00871FF1">
        <w:rPr>
          <w:rFonts w:eastAsia="Times New Roman" w:cs="Calibri"/>
        </w:rPr>
        <w:t xml:space="preserve">ort de Monsin. </w:t>
      </w:r>
    </w:p>
    <w:p w14:paraId="1A71299E" w14:textId="188B7C8A" w:rsidR="008F4571" w:rsidRDefault="008F4571" w:rsidP="008F4571">
      <w:pPr>
        <w:pStyle w:val="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Pour </w:t>
      </w:r>
      <w:r w:rsidR="00B10190">
        <w:rPr>
          <w:sz w:val="22"/>
          <w:szCs w:val="22"/>
        </w:rPr>
        <w:t>renforcer</w:t>
      </w:r>
      <w:r>
        <w:rPr>
          <w:sz w:val="22"/>
          <w:szCs w:val="22"/>
        </w:rPr>
        <w:t xml:space="preserve"> son rôle stratégique de port intérieur, le Port autonome de Liège </w:t>
      </w:r>
      <w:r w:rsidR="00B10190">
        <w:rPr>
          <w:sz w:val="22"/>
          <w:szCs w:val="22"/>
        </w:rPr>
        <w:t>investit également dans le</w:t>
      </w:r>
      <w:r>
        <w:rPr>
          <w:sz w:val="22"/>
          <w:szCs w:val="22"/>
        </w:rPr>
        <w:t xml:space="preserve"> tourisme fluvial </w:t>
      </w:r>
      <w:r w:rsidR="00B10190">
        <w:rPr>
          <w:sz w:val="22"/>
          <w:szCs w:val="22"/>
        </w:rPr>
        <w:t>avec</w:t>
      </w:r>
      <w:r>
        <w:rPr>
          <w:sz w:val="22"/>
          <w:szCs w:val="22"/>
        </w:rPr>
        <w:t xml:space="preserve"> l’aménagement d’une nouvelle zone portuaire dédiée à la plaisance </w:t>
      </w:r>
      <w:r w:rsidR="00945B6A">
        <w:rPr>
          <w:sz w:val="22"/>
          <w:szCs w:val="22"/>
        </w:rPr>
        <w:t xml:space="preserve">et d’une nouvelle Capitainerie </w:t>
      </w:r>
      <w:r>
        <w:rPr>
          <w:sz w:val="22"/>
          <w:szCs w:val="22"/>
        </w:rPr>
        <w:t xml:space="preserve">dans le quartier de Rives Ardentes à </w:t>
      </w:r>
      <w:r w:rsidR="00B10190">
        <w:rPr>
          <w:sz w:val="22"/>
          <w:szCs w:val="22"/>
        </w:rPr>
        <w:t>Coronmeuse/</w:t>
      </w:r>
      <w:r>
        <w:rPr>
          <w:sz w:val="22"/>
          <w:szCs w:val="22"/>
        </w:rPr>
        <w:t>Liège</w:t>
      </w:r>
      <w:r w:rsidR="00945B6A">
        <w:rPr>
          <w:sz w:val="22"/>
          <w:szCs w:val="22"/>
        </w:rPr>
        <w:t xml:space="preserve">. </w:t>
      </w:r>
    </w:p>
    <w:p w14:paraId="1FEB1394" w14:textId="77777777" w:rsidR="00107D73" w:rsidRPr="002F2877" w:rsidRDefault="00107D73" w:rsidP="0037125B">
      <w:pPr>
        <w:pStyle w:val="Body"/>
        <w:spacing w:after="0"/>
        <w:rPr>
          <w:rFonts w:eastAsia="Times New Roman" w:cstheme="minorHAnsi"/>
          <w:bCs w:val="0"/>
          <w:kern w:val="36"/>
          <w:sz w:val="22"/>
          <w:szCs w:val="22"/>
          <w:lang w:eastAsia="fr-BE"/>
        </w:rPr>
      </w:pPr>
    </w:p>
    <w:p w14:paraId="09ADD93B" w14:textId="7041A040" w:rsidR="005E68D8" w:rsidRDefault="00110AE4" w:rsidP="00DC48E3">
      <w:pPr>
        <w:pStyle w:val="Body"/>
        <w:spacing w:after="0"/>
        <w:rPr>
          <w:i/>
          <w:iCs/>
          <w:sz w:val="22"/>
          <w:szCs w:val="22"/>
        </w:rPr>
      </w:pPr>
      <w:r w:rsidRPr="002F2877">
        <w:rPr>
          <w:sz w:val="22"/>
          <w:szCs w:val="22"/>
        </w:rPr>
        <w:t>Selon Willy Demeyer, Président du Port autonome de Liège, « </w:t>
      </w:r>
      <w:r w:rsidR="00B10190" w:rsidRPr="0089034A">
        <w:rPr>
          <w:i/>
          <w:iCs/>
          <w:sz w:val="22"/>
          <w:szCs w:val="22"/>
        </w:rPr>
        <w:t>la</w:t>
      </w:r>
      <w:r w:rsidRPr="002F2877">
        <w:rPr>
          <w:i/>
          <w:iCs/>
          <w:sz w:val="22"/>
          <w:szCs w:val="22"/>
        </w:rPr>
        <w:t xml:space="preserve"> baisse </w:t>
      </w:r>
      <w:r w:rsidR="009E1542">
        <w:rPr>
          <w:i/>
          <w:iCs/>
          <w:sz w:val="22"/>
          <w:szCs w:val="22"/>
        </w:rPr>
        <w:t xml:space="preserve">générale </w:t>
      </w:r>
      <w:r w:rsidRPr="002F2877">
        <w:rPr>
          <w:i/>
          <w:iCs/>
          <w:sz w:val="22"/>
          <w:szCs w:val="22"/>
        </w:rPr>
        <w:t xml:space="preserve">de nos trafics résulte non seulement d’un fort ralentissement économique mondial mais également </w:t>
      </w:r>
      <w:r w:rsidR="00FE4557">
        <w:rPr>
          <w:i/>
          <w:iCs/>
          <w:sz w:val="22"/>
          <w:szCs w:val="22"/>
        </w:rPr>
        <w:t>des</w:t>
      </w:r>
      <w:r w:rsidRPr="002F2877">
        <w:rPr>
          <w:i/>
          <w:iCs/>
          <w:sz w:val="22"/>
          <w:szCs w:val="22"/>
        </w:rPr>
        <w:t xml:space="preserve"> nombreuses perturbations de la logistique des conteneurs et </w:t>
      </w:r>
      <w:r w:rsidR="00FF01EA">
        <w:rPr>
          <w:i/>
          <w:iCs/>
          <w:sz w:val="22"/>
          <w:szCs w:val="22"/>
        </w:rPr>
        <w:t xml:space="preserve">des conséquences </w:t>
      </w:r>
      <w:r w:rsidR="00FE4557">
        <w:rPr>
          <w:i/>
          <w:iCs/>
          <w:sz w:val="22"/>
          <w:szCs w:val="22"/>
        </w:rPr>
        <w:t xml:space="preserve">du </w:t>
      </w:r>
      <w:r w:rsidRPr="002F2877">
        <w:rPr>
          <w:i/>
          <w:iCs/>
          <w:sz w:val="22"/>
          <w:szCs w:val="22"/>
        </w:rPr>
        <w:t xml:space="preserve">conflit en Ukraine. </w:t>
      </w:r>
      <w:r w:rsidR="00DC48E3" w:rsidRPr="002F2877">
        <w:rPr>
          <w:i/>
          <w:iCs/>
          <w:sz w:val="22"/>
          <w:szCs w:val="22"/>
        </w:rPr>
        <w:t>Toutefois, l</w:t>
      </w:r>
      <w:r w:rsidR="00CA5248" w:rsidRPr="002F2877">
        <w:rPr>
          <w:i/>
          <w:iCs/>
          <w:sz w:val="22"/>
          <w:szCs w:val="22"/>
        </w:rPr>
        <w:t>e Port autonome de Liège poursuit</w:t>
      </w:r>
      <w:r w:rsidR="009E1542">
        <w:rPr>
          <w:i/>
          <w:iCs/>
          <w:sz w:val="22"/>
          <w:szCs w:val="22"/>
        </w:rPr>
        <w:t>, avec la Wallonie, son programme ambitieux d’</w:t>
      </w:r>
      <w:r w:rsidR="00CA5248" w:rsidRPr="002F2877">
        <w:rPr>
          <w:i/>
          <w:iCs/>
          <w:sz w:val="22"/>
          <w:szCs w:val="22"/>
        </w:rPr>
        <w:t xml:space="preserve">investissements </w:t>
      </w:r>
      <w:r w:rsidR="00B10190">
        <w:rPr>
          <w:i/>
          <w:iCs/>
          <w:sz w:val="22"/>
          <w:szCs w:val="22"/>
        </w:rPr>
        <w:t>notamment avec le rehaussement des ponts du Canal Albert, ce qui</w:t>
      </w:r>
      <w:r w:rsidR="00DC48E3" w:rsidRPr="002F2877">
        <w:rPr>
          <w:i/>
          <w:iCs/>
          <w:sz w:val="22"/>
          <w:szCs w:val="22"/>
        </w:rPr>
        <w:t xml:space="preserve"> nous permet de répondre pleinement aux objectifs</w:t>
      </w:r>
      <w:r w:rsidR="00B10190">
        <w:rPr>
          <w:i/>
          <w:iCs/>
          <w:sz w:val="22"/>
          <w:szCs w:val="22"/>
        </w:rPr>
        <w:t xml:space="preserve"> de développement</w:t>
      </w:r>
      <w:r w:rsidR="00DC48E3" w:rsidRPr="002F2877">
        <w:rPr>
          <w:i/>
          <w:iCs/>
          <w:sz w:val="22"/>
          <w:szCs w:val="22"/>
        </w:rPr>
        <w:t xml:space="preserve"> du Gouvernement wallon</w:t>
      </w:r>
      <w:r w:rsidR="00B10190">
        <w:rPr>
          <w:i/>
          <w:iCs/>
          <w:sz w:val="22"/>
          <w:szCs w:val="22"/>
        </w:rPr>
        <w:t xml:space="preserve"> en matière économique</w:t>
      </w:r>
      <w:r w:rsidR="00DC48E3" w:rsidRPr="002F2877">
        <w:rPr>
          <w:i/>
          <w:iCs/>
          <w:sz w:val="22"/>
          <w:szCs w:val="22"/>
        </w:rPr>
        <w:t>.</w:t>
      </w:r>
      <w:r w:rsidR="005E68D8">
        <w:rPr>
          <w:i/>
          <w:iCs/>
          <w:sz w:val="22"/>
          <w:szCs w:val="22"/>
        </w:rPr>
        <w:t xml:space="preserve"> </w:t>
      </w:r>
    </w:p>
    <w:p w14:paraId="3876F297" w14:textId="36A10652" w:rsidR="005E68D8" w:rsidRPr="005E68D8" w:rsidRDefault="005E68D8" w:rsidP="005E68D8">
      <w:pPr>
        <w:jc w:val="both"/>
        <w:rPr>
          <w:i/>
          <w:iCs/>
          <w:lang w:val="fr-FR"/>
        </w:rPr>
      </w:pPr>
      <w:r w:rsidRPr="005E68D8">
        <w:rPr>
          <w:i/>
          <w:iCs/>
          <w:lang w:val="fr-FR"/>
        </w:rPr>
        <w:lastRenderedPageBreak/>
        <w:t xml:space="preserve">Divers projets tels </w:t>
      </w:r>
      <w:r w:rsidR="00256FFD">
        <w:rPr>
          <w:i/>
          <w:iCs/>
          <w:lang w:val="fr-FR"/>
        </w:rPr>
        <w:t>qu’</w:t>
      </w:r>
      <w:r w:rsidRPr="005E68D8">
        <w:rPr>
          <w:i/>
          <w:iCs/>
          <w:lang w:val="fr-FR"/>
        </w:rPr>
        <w:t xml:space="preserve">une nouvelle installation d’accostage à Hermalle-sous-Huy, </w:t>
      </w:r>
      <w:r w:rsidR="00D3591D">
        <w:rPr>
          <w:i/>
          <w:iCs/>
          <w:lang w:val="fr-FR"/>
        </w:rPr>
        <w:t xml:space="preserve">que </w:t>
      </w:r>
      <w:r w:rsidRPr="005E68D8">
        <w:rPr>
          <w:i/>
          <w:iCs/>
          <w:lang w:val="fr-FR"/>
        </w:rPr>
        <w:t xml:space="preserve">la construction d’une nouvelle capitainerie et </w:t>
      </w:r>
      <w:r w:rsidR="00707855">
        <w:rPr>
          <w:i/>
          <w:iCs/>
          <w:lang w:val="fr-FR"/>
        </w:rPr>
        <w:t>un</w:t>
      </w:r>
      <w:r w:rsidR="00D3591D">
        <w:rPr>
          <w:i/>
          <w:iCs/>
          <w:lang w:val="fr-FR"/>
        </w:rPr>
        <w:t xml:space="preserve"> </w:t>
      </w:r>
      <w:r w:rsidRPr="005E68D8">
        <w:rPr>
          <w:i/>
          <w:iCs/>
          <w:lang w:val="fr-FR"/>
        </w:rPr>
        <w:t xml:space="preserve">port de plaisance ou </w:t>
      </w:r>
      <w:r w:rsidR="00707855">
        <w:rPr>
          <w:i/>
          <w:iCs/>
          <w:lang w:val="fr-FR"/>
        </w:rPr>
        <w:t xml:space="preserve">tels que </w:t>
      </w:r>
      <w:r w:rsidRPr="005E68D8">
        <w:rPr>
          <w:i/>
          <w:iCs/>
          <w:lang w:val="fr-FR"/>
        </w:rPr>
        <w:t xml:space="preserve">la nouvelle plate-forme bimodale (rail-route) du Port de Monsin </w:t>
      </w:r>
      <w:r w:rsidR="00D3591D" w:rsidRPr="005E68D8">
        <w:rPr>
          <w:i/>
          <w:iCs/>
          <w:lang w:val="fr-FR"/>
        </w:rPr>
        <w:t>renforceront</w:t>
      </w:r>
      <w:r w:rsidRPr="005E68D8">
        <w:rPr>
          <w:i/>
          <w:iCs/>
          <w:lang w:val="fr-FR"/>
        </w:rPr>
        <w:t xml:space="preserve"> ainsi l’offre multimodale du Port de Liège ». </w:t>
      </w:r>
    </w:p>
    <w:p w14:paraId="70250605" w14:textId="6B2F835E" w:rsidR="00C016ED" w:rsidRDefault="00B10190" w:rsidP="00D55ADF">
      <w:pPr>
        <w:pStyle w:val="Body"/>
        <w:spacing w:after="0"/>
        <w:rPr>
          <w:sz w:val="22"/>
          <w:szCs w:val="22"/>
        </w:rPr>
      </w:pPr>
      <w:r>
        <w:rPr>
          <w:sz w:val="22"/>
          <w:szCs w:val="22"/>
        </w:rPr>
        <w:t>Pour rappel, p</w:t>
      </w:r>
      <w:r w:rsidR="008E2332" w:rsidRPr="002F2877">
        <w:rPr>
          <w:sz w:val="22"/>
          <w:szCs w:val="22"/>
        </w:rPr>
        <w:t>lus de 18.000 emplois directs et indirects sont générés par les entreprises privées actives sur les sites portuaires du Port autonome de Liège</w:t>
      </w:r>
      <w:r w:rsidR="00D55ADF" w:rsidRPr="002F2877">
        <w:rPr>
          <w:sz w:val="22"/>
          <w:szCs w:val="22"/>
        </w:rPr>
        <w:t xml:space="preserve"> (étude de la Banque </w:t>
      </w:r>
      <w:r w:rsidR="00707855">
        <w:rPr>
          <w:sz w:val="22"/>
          <w:szCs w:val="22"/>
        </w:rPr>
        <w:t>N</w:t>
      </w:r>
      <w:r w:rsidR="00D55ADF" w:rsidRPr="002F2877">
        <w:rPr>
          <w:sz w:val="22"/>
          <w:szCs w:val="22"/>
        </w:rPr>
        <w:t xml:space="preserve">ationale de Belgique). </w:t>
      </w:r>
      <w:r w:rsidR="009443A6" w:rsidRPr="002F2877">
        <w:rPr>
          <w:sz w:val="22"/>
          <w:szCs w:val="22"/>
        </w:rPr>
        <w:t xml:space="preserve">Le Port de Liège demeure </w:t>
      </w:r>
      <w:r w:rsidR="00D549C9">
        <w:rPr>
          <w:sz w:val="22"/>
          <w:szCs w:val="22"/>
        </w:rPr>
        <w:t xml:space="preserve">donc </w:t>
      </w:r>
      <w:r w:rsidR="009443A6" w:rsidRPr="002F2877">
        <w:rPr>
          <w:sz w:val="22"/>
          <w:szCs w:val="22"/>
        </w:rPr>
        <w:t xml:space="preserve">un levier de développement socio-économique important pour la région. </w:t>
      </w:r>
    </w:p>
    <w:p w14:paraId="68A4C5B2" w14:textId="77777777" w:rsidR="00213A30" w:rsidRDefault="00213A30" w:rsidP="00213A30">
      <w:pPr>
        <w:spacing w:after="0" w:line="240" w:lineRule="auto"/>
        <w:jc w:val="both"/>
      </w:pPr>
    </w:p>
    <w:p w14:paraId="232581AB" w14:textId="77777777" w:rsidR="00A4501E" w:rsidRDefault="00A4501E" w:rsidP="00213A30">
      <w:pPr>
        <w:spacing w:after="0" w:line="240" w:lineRule="auto"/>
        <w:jc w:val="both"/>
      </w:pPr>
    </w:p>
    <w:p w14:paraId="7715D312" w14:textId="48426A6D" w:rsidR="002F2864" w:rsidRPr="00213A30" w:rsidRDefault="002F2864" w:rsidP="00213A30">
      <w:pPr>
        <w:pStyle w:val="Chapitre"/>
        <w:spacing w:after="0" w:line="240" w:lineRule="auto"/>
        <w:jc w:val="center"/>
        <w:rPr>
          <w:rFonts w:cs="Arial"/>
        </w:rPr>
      </w:pPr>
      <w:r>
        <w:rPr>
          <w:rFonts w:cs="Arial"/>
        </w:rPr>
        <w:t>Rapport détaillé des activités</w:t>
      </w:r>
    </w:p>
    <w:p w14:paraId="254E4691" w14:textId="77777777" w:rsidR="00213A30" w:rsidRDefault="00213A30" w:rsidP="00213A30">
      <w:pPr>
        <w:pStyle w:val="Body"/>
        <w:spacing w:after="0"/>
        <w:rPr>
          <w:sz w:val="22"/>
          <w:szCs w:val="22"/>
        </w:rPr>
      </w:pPr>
    </w:p>
    <w:p w14:paraId="2AD6F670" w14:textId="7BB409B5" w:rsidR="002F2864" w:rsidRPr="002D1856" w:rsidRDefault="00E60CD1" w:rsidP="00213A30">
      <w:pPr>
        <w:pStyle w:val="Chapitre"/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="002F2864">
        <w:rPr>
          <w:rFonts w:cs="Arial"/>
        </w:rPr>
        <w:t xml:space="preserve">. </w:t>
      </w:r>
      <w:r w:rsidR="00E938A8">
        <w:rPr>
          <w:rFonts w:cs="Arial"/>
        </w:rPr>
        <w:t xml:space="preserve">Le trafic fluvial </w:t>
      </w:r>
    </w:p>
    <w:p w14:paraId="0F460A5D" w14:textId="77777777" w:rsidR="009F2508" w:rsidRPr="00657C5F" w:rsidRDefault="009F2508" w:rsidP="00213A30">
      <w:pPr>
        <w:spacing w:after="0" w:line="240" w:lineRule="auto"/>
        <w:jc w:val="both"/>
        <w:rPr>
          <w:color w:val="ED7D31" w:themeColor="accent2"/>
        </w:rPr>
      </w:pPr>
    </w:p>
    <w:p w14:paraId="6D2CA0D7" w14:textId="77777777" w:rsidR="009A618C" w:rsidRPr="00C83269" w:rsidRDefault="009A618C" w:rsidP="00C83269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eastAsia="Times New Roman"/>
          <w:b/>
          <w:u w:val="single"/>
          <w:lang w:eastAsia="fr-FR"/>
        </w:rPr>
      </w:pPr>
      <w:r w:rsidRPr="00C83269">
        <w:rPr>
          <w:rFonts w:eastAsia="Times New Roman"/>
          <w:b/>
          <w:u w:val="single"/>
          <w:lang w:eastAsia="fr-FR"/>
        </w:rPr>
        <w:t>Les tonnages fluvio-maritimes</w:t>
      </w:r>
    </w:p>
    <w:p w14:paraId="38817D28" w14:textId="77777777" w:rsidR="009A618C" w:rsidRPr="00C83269" w:rsidRDefault="009A618C" w:rsidP="00C83269">
      <w:pPr>
        <w:spacing w:after="0" w:line="240" w:lineRule="auto"/>
        <w:jc w:val="both"/>
        <w:rPr>
          <w:bCs/>
        </w:rPr>
      </w:pPr>
      <w:r w:rsidRPr="00C83269">
        <w:t>Les tonnages voie d’eau passent de 14.550.481 tonnes en 2022 à 11.755.783 tonnes en 2023, soit une diminution de 2.744.698 tonnes</w:t>
      </w:r>
      <w:r w:rsidRPr="00C83269">
        <w:rPr>
          <w:bCs/>
        </w:rPr>
        <w:t xml:space="preserve"> (-19 %). </w:t>
      </w:r>
    </w:p>
    <w:p w14:paraId="49CFD17C" w14:textId="77777777" w:rsidR="00657C5F" w:rsidRPr="00C83269" w:rsidRDefault="00657C5F" w:rsidP="00C83269">
      <w:pPr>
        <w:spacing w:after="0" w:line="240" w:lineRule="auto"/>
        <w:jc w:val="both"/>
        <w:rPr>
          <w:bCs/>
        </w:rPr>
      </w:pPr>
    </w:p>
    <w:p w14:paraId="79F15954" w14:textId="77777777" w:rsidR="00657C5F" w:rsidRPr="00C83269" w:rsidRDefault="00657C5F" w:rsidP="00C8326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b/>
          <w:bCs/>
          <w:i/>
        </w:rPr>
      </w:pPr>
      <w:r w:rsidRPr="00C83269">
        <w:rPr>
          <w:b/>
          <w:bCs/>
          <w:i/>
        </w:rPr>
        <w:t>Catégories de marchandises</w:t>
      </w:r>
    </w:p>
    <w:p w14:paraId="3AFCF29D" w14:textId="77777777" w:rsidR="00657C5F" w:rsidRPr="00C83269" w:rsidRDefault="00657C5F" w:rsidP="00C83269">
      <w:pPr>
        <w:spacing w:after="0" w:line="240" w:lineRule="auto"/>
        <w:jc w:val="both"/>
      </w:pPr>
    </w:p>
    <w:tbl>
      <w:tblPr>
        <w:tblW w:w="9464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31"/>
        <w:gridCol w:w="1741"/>
        <w:gridCol w:w="1567"/>
        <w:gridCol w:w="1567"/>
        <w:gridCol w:w="858"/>
      </w:tblGrid>
      <w:tr w:rsidR="00C83269" w:rsidRPr="00C83269" w14:paraId="76C54838" w14:textId="77777777" w:rsidTr="00435B6A">
        <w:trPr>
          <w:trHeight w:val="398"/>
          <w:jc w:val="center"/>
        </w:trPr>
        <w:tc>
          <w:tcPr>
            <w:tcW w:w="3731" w:type="dxa"/>
            <w:tcBorders>
              <w:bottom w:val="single" w:sz="12" w:space="0" w:color="000000"/>
            </w:tcBorders>
            <w:shd w:val="clear" w:color="auto" w:fill="auto"/>
          </w:tcPr>
          <w:p w14:paraId="14F437B2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B5D7E">
              <w:rPr>
                <w:b/>
                <w:bCs/>
                <w:i/>
                <w:sz w:val="20"/>
                <w:szCs w:val="20"/>
              </w:rPr>
              <w:t>CATEGORIES DE MARCHANDISES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14:paraId="78096627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B5D7E">
              <w:rPr>
                <w:b/>
                <w:bCs/>
                <w:i/>
                <w:sz w:val="20"/>
                <w:szCs w:val="20"/>
              </w:rPr>
              <w:t>2023</w:t>
            </w:r>
          </w:p>
        </w:tc>
        <w:tc>
          <w:tcPr>
            <w:tcW w:w="1567" w:type="dxa"/>
            <w:tcBorders>
              <w:bottom w:val="single" w:sz="12" w:space="0" w:color="000000"/>
            </w:tcBorders>
          </w:tcPr>
          <w:p w14:paraId="1BA0D2B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B5D7E">
              <w:rPr>
                <w:b/>
                <w:bCs/>
                <w:i/>
                <w:sz w:val="20"/>
                <w:szCs w:val="20"/>
              </w:rPr>
              <w:t>2022</w:t>
            </w:r>
          </w:p>
        </w:tc>
        <w:tc>
          <w:tcPr>
            <w:tcW w:w="1567" w:type="dxa"/>
            <w:tcBorders>
              <w:bottom w:val="single" w:sz="12" w:space="0" w:color="000000"/>
            </w:tcBorders>
            <w:shd w:val="clear" w:color="auto" w:fill="auto"/>
          </w:tcPr>
          <w:p w14:paraId="03C17E25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B5D7E">
              <w:rPr>
                <w:b/>
                <w:bCs/>
                <w:i/>
                <w:sz w:val="20"/>
                <w:szCs w:val="20"/>
              </w:rPr>
              <w:t>Différence</w:t>
            </w:r>
          </w:p>
        </w:tc>
        <w:tc>
          <w:tcPr>
            <w:tcW w:w="858" w:type="dxa"/>
            <w:tcBorders>
              <w:bottom w:val="single" w:sz="12" w:space="0" w:color="000000"/>
            </w:tcBorders>
            <w:shd w:val="clear" w:color="auto" w:fill="auto"/>
          </w:tcPr>
          <w:p w14:paraId="311110F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B5D7E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C83269" w:rsidRPr="00C83269" w14:paraId="7B77890A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097080C9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Produits de l’agriculture</w:t>
            </w:r>
          </w:p>
        </w:tc>
        <w:tc>
          <w:tcPr>
            <w:tcW w:w="1741" w:type="dxa"/>
          </w:tcPr>
          <w:p w14:paraId="3C095CF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389.115</w:t>
            </w:r>
          </w:p>
        </w:tc>
        <w:tc>
          <w:tcPr>
            <w:tcW w:w="1567" w:type="dxa"/>
          </w:tcPr>
          <w:p w14:paraId="4E4111B4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505.702</w:t>
            </w:r>
          </w:p>
        </w:tc>
        <w:tc>
          <w:tcPr>
            <w:tcW w:w="1567" w:type="dxa"/>
            <w:shd w:val="clear" w:color="auto" w:fill="auto"/>
          </w:tcPr>
          <w:p w14:paraId="3150FE4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-116.587</w:t>
            </w:r>
          </w:p>
        </w:tc>
        <w:tc>
          <w:tcPr>
            <w:tcW w:w="858" w:type="dxa"/>
            <w:shd w:val="clear" w:color="auto" w:fill="auto"/>
          </w:tcPr>
          <w:p w14:paraId="0B37EC79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-23</w:t>
            </w:r>
          </w:p>
        </w:tc>
      </w:tr>
      <w:tr w:rsidR="00C83269" w:rsidRPr="00C83269" w14:paraId="740FDD4D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33D12F7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Houille et lignite</w:t>
            </w:r>
          </w:p>
        </w:tc>
        <w:tc>
          <w:tcPr>
            <w:tcW w:w="1741" w:type="dxa"/>
          </w:tcPr>
          <w:p w14:paraId="7B175C6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698.891</w:t>
            </w:r>
          </w:p>
        </w:tc>
        <w:tc>
          <w:tcPr>
            <w:tcW w:w="1567" w:type="dxa"/>
          </w:tcPr>
          <w:p w14:paraId="4A4173CD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1.206.603</w:t>
            </w:r>
          </w:p>
        </w:tc>
        <w:tc>
          <w:tcPr>
            <w:tcW w:w="1567" w:type="dxa"/>
            <w:shd w:val="clear" w:color="auto" w:fill="auto"/>
          </w:tcPr>
          <w:p w14:paraId="4C044DE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-507.712</w:t>
            </w:r>
          </w:p>
        </w:tc>
        <w:tc>
          <w:tcPr>
            <w:tcW w:w="858" w:type="dxa"/>
            <w:shd w:val="clear" w:color="auto" w:fill="auto"/>
          </w:tcPr>
          <w:p w14:paraId="5C2E3764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-42</w:t>
            </w:r>
          </w:p>
        </w:tc>
      </w:tr>
      <w:tr w:rsidR="00C83269" w:rsidRPr="00C83269" w14:paraId="2DCCDE57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1FA9DB5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Minerais</w:t>
            </w:r>
          </w:p>
        </w:tc>
        <w:tc>
          <w:tcPr>
            <w:tcW w:w="1741" w:type="dxa"/>
          </w:tcPr>
          <w:p w14:paraId="525088E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14:paraId="76A1AA49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1.980</w:t>
            </w:r>
          </w:p>
        </w:tc>
        <w:tc>
          <w:tcPr>
            <w:tcW w:w="1567" w:type="dxa"/>
            <w:shd w:val="clear" w:color="auto" w:fill="auto"/>
          </w:tcPr>
          <w:p w14:paraId="330EA995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-1.980</w:t>
            </w:r>
          </w:p>
        </w:tc>
        <w:tc>
          <w:tcPr>
            <w:tcW w:w="858" w:type="dxa"/>
            <w:shd w:val="clear" w:color="auto" w:fill="auto"/>
          </w:tcPr>
          <w:p w14:paraId="548C84B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*</w:t>
            </w:r>
          </w:p>
        </w:tc>
      </w:tr>
      <w:tr w:rsidR="00C83269" w:rsidRPr="00C83269" w14:paraId="29306C5D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277A725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Produits alimentaires</w:t>
            </w:r>
          </w:p>
        </w:tc>
        <w:tc>
          <w:tcPr>
            <w:tcW w:w="1741" w:type="dxa"/>
          </w:tcPr>
          <w:p w14:paraId="1F8253E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14:paraId="65DA3B0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</w:tcPr>
          <w:p w14:paraId="00187C61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14:paraId="4668451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*</w:t>
            </w:r>
          </w:p>
        </w:tc>
      </w:tr>
      <w:tr w:rsidR="00C83269" w:rsidRPr="00C83269" w14:paraId="5F31C214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41B9F271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Bois et produits du bois</w:t>
            </w:r>
          </w:p>
        </w:tc>
        <w:tc>
          <w:tcPr>
            <w:tcW w:w="1741" w:type="dxa"/>
          </w:tcPr>
          <w:p w14:paraId="1596BDE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47.223</w:t>
            </w:r>
          </w:p>
        </w:tc>
        <w:tc>
          <w:tcPr>
            <w:tcW w:w="1567" w:type="dxa"/>
          </w:tcPr>
          <w:p w14:paraId="5300337D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62.586</w:t>
            </w:r>
          </w:p>
        </w:tc>
        <w:tc>
          <w:tcPr>
            <w:tcW w:w="1567" w:type="dxa"/>
            <w:shd w:val="clear" w:color="auto" w:fill="auto"/>
          </w:tcPr>
          <w:p w14:paraId="49C423D1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-15.363</w:t>
            </w:r>
          </w:p>
        </w:tc>
        <w:tc>
          <w:tcPr>
            <w:tcW w:w="858" w:type="dxa"/>
            <w:shd w:val="clear" w:color="auto" w:fill="auto"/>
          </w:tcPr>
          <w:p w14:paraId="049EE7DD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-25</w:t>
            </w:r>
          </w:p>
        </w:tc>
      </w:tr>
      <w:tr w:rsidR="00C83269" w:rsidRPr="00C83269" w14:paraId="791D3254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12EF6D55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Coke et produits pétroliers</w:t>
            </w:r>
          </w:p>
        </w:tc>
        <w:tc>
          <w:tcPr>
            <w:tcW w:w="1741" w:type="dxa"/>
          </w:tcPr>
          <w:p w14:paraId="0642173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2.961.685</w:t>
            </w:r>
          </w:p>
        </w:tc>
        <w:tc>
          <w:tcPr>
            <w:tcW w:w="1567" w:type="dxa"/>
          </w:tcPr>
          <w:p w14:paraId="308181C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2.788.422</w:t>
            </w:r>
          </w:p>
        </w:tc>
        <w:tc>
          <w:tcPr>
            <w:tcW w:w="1567" w:type="dxa"/>
            <w:shd w:val="clear" w:color="auto" w:fill="auto"/>
          </w:tcPr>
          <w:p w14:paraId="735D9A1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-26.737</w:t>
            </w:r>
          </w:p>
        </w:tc>
        <w:tc>
          <w:tcPr>
            <w:tcW w:w="858" w:type="dxa"/>
            <w:shd w:val="clear" w:color="auto" w:fill="auto"/>
          </w:tcPr>
          <w:p w14:paraId="68ED77E3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</w:t>
            </w:r>
          </w:p>
        </w:tc>
      </w:tr>
      <w:tr w:rsidR="00C83269" w:rsidRPr="00C83269" w14:paraId="0A1EE4BC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7020ABCF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Produits chimiques</w:t>
            </w:r>
          </w:p>
        </w:tc>
        <w:tc>
          <w:tcPr>
            <w:tcW w:w="1741" w:type="dxa"/>
          </w:tcPr>
          <w:p w14:paraId="306C2899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310.792</w:t>
            </w:r>
          </w:p>
        </w:tc>
        <w:tc>
          <w:tcPr>
            <w:tcW w:w="1567" w:type="dxa"/>
          </w:tcPr>
          <w:p w14:paraId="405E4DE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329.846</w:t>
            </w:r>
          </w:p>
        </w:tc>
        <w:tc>
          <w:tcPr>
            <w:tcW w:w="1567" w:type="dxa"/>
            <w:shd w:val="clear" w:color="auto" w:fill="auto"/>
          </w:tcPr>
          <w:p w14:paraId="7CE0367D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-19.054</w:t>
            </w:r>
          </w:p>
        </w:tc>
        <w:tc>
          <w:tcPr>
            <w:tcW w:w="858" w:type="dxa"/>
            <w:shd w:val="clear" w:color="auto" w:fill="auto"/>
          </w:tcPr>
          <w:p w14:paraId="40975ED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-6</w:t>
            </w:r>
          </w:p>
        </w:tc>
      </w:tr>
      <w:tr w:rsidR="00C83269" w:rsidRPr="00C83269" w14:paraId="4FE0030E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5E39A65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Produits minéraux non métalliques</w:t>
            </w:r>
          </w:p>
        </w:tc>
        <w:tc>
          <w:tcPr>
            <w:tcW w:w="1741" w:type="dxa"/>
          </w:tcPr>
          <w:p w14:paraId="64AFFBC0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4.474.405</w:t>
            </w:r>
          </w:p>
        </w:tc>
        <w:tc>
          <w:tcPr>
            <w:tcW w:w="1567" w:type="dxa"/>
          </w:tcPr>
          <w:p w14:paraId="4E59D6E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5.119.606</w:t>
            </w:r>
          </w:p>
        </w:tc>
        <w:tc>
          <w:tcPr>
            <w:tcW w:w="1567" w:type="dxa"/>
            <w:shd w:val="clear" w:color="auto" w:fill="auto"/>
          </w:tcPr>
          <w:p w14:paraId="67965A2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-645.201</w:t>
            </w:r>
          </w:p>
        </w:tc>
        <w:tc>
          <w:tcPr>
            <w:tcW w:w="858" w:type="dxa"/>
            <w:shd w:val="clear" w:color="auto" w:fill="auto"/>
          </w:tcPr>
          <w:p w14:paraId="0E0E264D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-13</w:t>
            </w:r>
          </w:p>
        </w:tc>
      </w:tr>
      <w:tr w:rsidR="00C83269" w:rsidRPr="00C83269" w14:paraId="41D46C59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5FE21AEF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Métaux</w:t>
            </w:r>
          </w:p>
        </w:tc>
        <w:tc>
          <w:tcPr>
            <w:tcW w:w="1741" w:type="dxa"/>
          </w:tcPr>
          <w:p w14:paraId="00301D6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976.116</w:t>
            </w:r>
          </w:p>
        </w:tc>
        <w:tc>
          <w:tcPr>
            <w:tcW w:w="1567" w:type="dxa"/>
          </w:tcPr>
          <w:p w14:paraId="50E53623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1.163.698</w:t>
            </w:r>
          </w:p>
        </w:tc>
        <w:tc>
          <w:tcPr>
            <w:tcW w:w="1567" w:type="dxa"/>
            <w:shd w:val="clear" w:color="auto" w:fill="auto"/>
          </w:tcPr>
          <w:p w14:paraId="045AB343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-187.582</w:t>
            </w:r>
          </w:p>
        </w:tc>
        <w:tc>
          <w:tcPr>
            <w:tcW w:w="858" w:type="dxa"/>
            <w:shd w:val="clear" w:color="auto" w:fill="auto"/>
          </w:tcPr>
          <w:p w14:paraId="269BCB56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-16</w:t>
            </w:r>
          </w:p>
        </w:tc>
      </w:tr>
      <w:tr w:rsidR="00C83269" w:rsidRPr="00C83269" w14:paraId="56D469CA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0D4D5E76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Machines et matériel</w:t>
            </w:r>
          </w:p>
        </w:tc>
        <w:tc>
          <w:tcPr>
            <w:tcW w:w="1741" w:type="dxa"/>
          </w:tcPr>
          <w:p w14:paraId="6C2D9D52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1567" w:type="dxa"/>
          </w:tcPr>
          <w:p w14:paraId="2CF9456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1567" w:type="dxa"/>
            <w:shd w:val="clear" w:color="auto" w:fill="auto"/>
          </w:tcPr>
          <w:p w14:paraId="71E96380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+340</w:t>
            </w:r>
          </w:p>
        </w:tc>
        <w:tc>
          <w:tcPr>
            <w:tcW w:w="858" w:type="dxa"/>
            <w:shd w:val="clear" w:color="auto" w:fill="auto"/>
          </w:tcPr>
          <w:p w14:paraId="219B1DD6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*</w:t>
            </w:r>
          </w:p>
        </w:tc>
      </w:tr>
      <w:tr w:rsidR="00C83269" w:rsidRPr="00C83269" w14:paraId="5708648E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2DEB5C6D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Matériel de transport</w:t>
            </w:r>
          </w:p>
        </w:tc>
        <w:tc>
          <w:tcPr>
            <w:tcW w:w="1741" w:type="dxa"/>
          </w:tcPr>
          <w:p w14:paraId="3945869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567" w:type="dxa"/>
          </w:tcPr>
          <w:p w14:paraId="3B49CD50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</w:tcPr>
          <w:p w14:paraId="19564A36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+33</w:t>
            </w:r>
          </w:p>
        </w:tc>
        <w:tc>
          <w:tcPr>
            <w:tcW w:w="858" w:type="dxa"/>
            <w:shd w:val="clear" w:color="auto" w:fill="auto"/>
          </w:tcPr>
          <w:p w14:paraId="1E69AC6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*</w:t>
            </w:r>
          </w:p>
        </w:tc>
      </w:tr>
      <w:tr w:rsidR="00C83269" w:rsidRPr="00C83269" w14:paraId="38C50445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780673B3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Articles manufacturés</w:t>
            </w:r>
          </w:p>
        </w:tc>
        <w:tc>
          <w:tcPr>
            <w:tcW w:w="1741" w:type="dxa"/>
          </w:tcPr>
          <w:p w14:paraId="2A918B3F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11.109</w:t>
            </w:r>
          </w:p>
        </w:tc>
        <w:tc>
          <w:tcPr>
            <w:tcW w:w="1567" w:type="dxa"/>
          </w:tcPr>
          <w:p w14:paraId="2C97B50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22.404</w:t>
            </w:r>
          </w:p>
        </w:tc>
        <w:tc>
          <w:tcPr>
            <w:tcW w:w="1567" w:type="dxa"/>
            <w:shd w:val="clear" w:color="auto" w:fill="auto"/>
          </w:tcPr>
          <w:p w14:paraId="530959EF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-11.245</w:t>
            </w:r>
          </w:p>
        </w:tc>
        <w:tc>
          <w:tcPr>
            <w:tcW w:w="858" w:type="dxa"/>
            <w:shd w:val="clear" w:color="auto" w:fill="auto"/>
          </w:tcPr>
          <w:p w14:paraId="28CC1817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*</w:t>
            </w:r>
          </w:p>
        </w:tc>
      </w:tr>
      <w:tr w:rsidR="00C83269" w:rsidRPr="00C83269" w14:paraId="522071B0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7941A3B4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Matières premières secondaires, déchets</w:t>
            </w:r>
          </w:p>
        </w:tc>
        <w:tc>
          <w:tcPr>
            <w:tcW w:w="1741" w:type="dxa"/>
          </w:tcPr>
          <w:p w14:paraId="66322C05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1.564.976</w:t>
            </w:r>
          </w:p>
        </w:tc>
        <w:tc>
          <w:tcPr>
            <w:tcW w:w="1567" w:type="dxa"/>
          </w:tcPr>
          <w:p w14:paraId="2DCFB0E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2.342.446</w:t>
            </w:r>
          </w:p>
        </w:tc>
        <w:tc>
          <w:tcPr>
            <w:tcW w:w="1567" w:type="dxa"/>
            <w:shd w:val="clear" w:color="auto" w:fill="auto"/>
          </w:tcPr>
          <w:p w14:paraId="13C370A2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-777.470</w:t>
            </w:r>
          </w:p>
        </w:tc>
        <w:tc>
          <w:tcPr>
            <w:tcW w:w="858" w:type="dxa"/>
            <w:shd w:val="clear" w:color="auto" w:fill="auto"/>
          </w:tcPr>
          <w:p w14:paraId="4BC4A5F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-33</w:t>
            </w:r>
          </w:p>
        </w:tc>
      </w:tr>
      <w:tr w:rsidR="00C83269" w:rsidRPr="00C83269" w14:paraId="5E14E4C1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41B64F2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Marchandises divers, conteneurs</w:t>
            </w:r>
          </w:p>
        </w:tc>
        <w:tc>
          <w:tcPr>
            <w:tcW w:w="1741" w:type="dxa"/>
          </w:tcPr>
          <w:p w14:paraId="0A08037C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458.699</w:t>
            </w:r>
          </w:p>
        </w:tc>
        <w:tc>
          <w:tcPr>
            <w:tcW w:w="1567" w:type="dxa"/>
          </w:tcPr>
          <w:p w14:paraId="707A5DDF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913.983</w:t>
            </w:r>
          </w:p>
        </w:tc>
        <w:tc>
          <w:tcPr>
            <w:tcW w:w="1567" w:type="dxa"/>
            <w:shd w:val="clear" w:color="auto" w:fill="auto"/>
          </w:tcPr>
          <w:p w14:paraId="21702C33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-455.284</w:t>
            </w:r>
          </w:p>
        </w:tc>
        <w:tc>
          <w:tcPr>
            <w:tcW w:w="858" w:type="dxa"/>
            <w:shd w:val="clear" w:color="auto" w:fill="auto"/>
          </w:tcPr>
          <w:p w14:paraId="675C617D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-50</w:t>
            </w:r>
          </w:p>
        </w:tc>
      </w:tr>
      <w:tr w:rsidR="00C83269" w:rsidRPr="00C83269" w14:paraId="42F4F6A6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6298B2FA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Autres marchandises</w:t>
            </w:r>
          </w:p>
        </w:tc>
        <w:tc>
          <w:tcPr>
            <w:tcW w:w="1741" w:type="dxa"/>
          </w:tcPr>
          <w:p w14:paraId="17170C1F" w14:textId="77777777" w:rsidR="00657C5F" w:rsidRPr="005B5D7E" w:rsidRDefault="00657C5F" w:rsidP="00C83269">
            <w:pPr>
              <w:tabs>
                <w:tab w:val="left" w:pos="1164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62.118</w:t>
            </w:r>
          </w:p>
        </w:tc>
        <w:tc>
          <w:tcPr>
            <w:tcW w:w="1567" w:type="dxa"/>
          </w:tcPr>
          <w:p w14:paraId="6A38B8E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92.924</w:t>
            </w:r>
          </w:p>
        </w:tc>
        <w:tc>
          <w:tcPr>
            <w:tcW w:w="1567" w:type="dxa"/>
            <w:shd w:val="clear" w:color="auto" w:fill="auto"/>
          </w:tcPr>
          <w:p w14:paraId="1D1B811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-30.806</w:t>
            </w:r>
          </w:p>
        </w:tc>
        <w:tc>
          <w:tcPr>
            <w:tcW w:w="858" w:type="dxa"/>
            <w:shd w:val="clear" w:color="auto" w:fill="auto"/>
          </w:tcPr>
          <w:p w14:paraId="43342825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Cs/>
                <w:sz w:val="20"/>
                <w:szCs w:val="20"/>
              </w:rPr>
            </w:pPr>
            <w:r w:rsidRPr="005B5D7E">
              <w:rPr>
                <w:bCs/>
                <w:sz w:val="20"/>
                <w:szCs w:val="20"/>
              </w:rPr>
              <w:t>-33</w:t>
            </w:r>
          </w:p>
        </w:tc>
      </w:tr>
      <w:tr w:rsidR="00C83269" w:rsidRPr="00C83269" w14:paraId="76128795" w14:textId="77777777" w:rsidTr="00435B6A">
        <w:trPr>
          <w:trHeight w:val="398"/>
          <w:jc w:val="center"/>
        </w:trPr>
        <w:tc>
          <w:tcPr>
            <w:tcW w:w="3731" w:type="dxa"/>
            <w:shd w:val="clear" w:color="auto" w:fill="auto"/>
          </w:tcPr>
          <w:p w14:paraId="4AA704A9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B5D7E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41" w:type="dxa"/>
          </w:tcPr>
          <w:p w14:paraId="046AB6BE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/>
                <w:bCs/>
                <w:sz w:val="20"/>
                <w:szCs w:val="20"/>
              </w:rPr>
            </w:pPr>
            <w:r w:rsidRPr="005B5D7E">
              <w:rPr>
                <w:b/>
                <w:bCs/>
                <w:sz w:val="20"/>
                <w:szCs w:val="20"/>
              </w:rPr>
              <w:t>11.755.783</w:t>
            </w:r>
          </w:p>
        </w:tc>
        <w:tc>
          <w:tcPr>
            <w:tcW w:w="1567" w:type="dxa"/>
          </w:tcPr>
          <w:p w14:paraId="0CF1475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/>
                <w:bCs/>
                <w:sz w:val="20"/>
                <w:szCs w:val="20"/>
              </w:rPr>
            </w:pPr>
            <w:r w:rsidRPr="005B5D7E">
              <w:rPr>
                <w:b/>
                <w:bCs/>
                <w:sz w:val="20"/>
                <w:szCs w:val="20"/>
              </w:rPr>
              <w:t>14.550.481</w:t>
            </w:r>
          </w:p>
        </w:tc>
        <w:tc>
          <w:tcPr>
            <w:tcW w:w="1567" w:type="dxa"/>
            <w:shd w:val="clear" w:color="auto" w:fill="auto"/>
          </w:tcPr>
          <w:p w14:paraId="1F4B279B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right="318"/>
              <w:jc w:val="both"/>
              <w:rPr>
                <w:b/>
                <w:bCs/>
                <w:sz w:val="20"/>
                <w:szCs w:val="20"/>
              </w:rPr>
            </w:pPr>
            <w:r w:rsidRPr="005B5D7E">
              <w:rPr>
                <w:b/>
                <w:bCs/>
                <w:sz w:val="20"/>
                <w:szCs w:val="20"/>
              </w:rPr>
              <w:t>-2.794.698</w:t>
            </w:r>
          </w:p>
        </w:tc>
        <w:tc>
          <w:tcPr>
            <w:tcW w:w="858" w:type="dxa"/>
            <w:shd w:val="clear" w:color="auto" w:fill="auto"/>
          </w:tcPr>
          <w:p w14:paraId="213B2BF8" w14:textId="77777777" w:rsidR="00657C5F" w:rsidRPr="005B5D7E" w:rsidRDefault="00657C5F" w:rsidP="00C83269">
            <w:pPr>
              <w:tabs>
                <w:tab w:val="left" w:pos="2552"/>
              </w:tabs>
              <w:spacing w:after="0" w:line="240" w:lineRule="auto"/>
              <w:ind w:left="-46" w:right="-55"/>
              <w:jc w:val="both"/>
              <w:rPr>
                <w:b/>
                <w:bCs/>
                <w:sz w:val="20"/>
                <w:szCs w:val="20"/>
              </w:rPr>
            </w:pPr>
            <w:r w:rsidRPr="005B5D7E">
              <w:rPr>
                <w:b/>
                <w:bCs/>
                <w:sz w:val="20"/>
                <w:szCs w:val="20"/>
              </w:rPr>
              <w:t>-19</w:t>
            </w:r>
          </w:p>
        </w:tc>
      </w:tr>
    </w:tbl>
    <w:p w14:paraId="3FE84BB3" w14:textId="77777777" w:rsidR="00657C5F" w:rsidRPr="00C83269" w:rsidRDefault="00657C5F" w:rsidP="00716DB8">
      <w:pPr>
        <w:spacing w:after="0" w:line="240" w:lineRule="auto"/>
        <w:jc w:val="right"/>
      </w:pPr>
      <w:r w:rsidRPr="00C83269">
        <w:t>* non significatif</w:t>
      </w:r>
    </w:p>
    <w:p w14:paraId="3D6CD507" w14:textId="5F2DADDE" w:rsidR="00657C5F" w:rsidRPr="00716DB8" w:rsidRDefault="00657C5F" w:rsidP="00C83269">
      <w:pPr>
        <w:spacing w:after="0" w:line="240" w:lineRule="auto"/>
        <w:jc w:val="both"/>
        <w:rPr>
          <w:rFonts w:cs="Calibri"/>
        </w:rPr>
      </w:pPr>
      <w:r w:rsidRPr="00C83269">
        <w:rPr>
          <w:rFonts w:cs="Calibri"/>
        </w:rPr>
        <w:t xml:space="preserve">L’ensemble des catégories de marchandises fluviales significatives est en repli </w:t>
      </w:r>
      <w:r w:rsidR="00256FFD">
        <w:rPr>
          <w:rFonts w:cs="Calibri"/>
        </w:rPr>
        <w:t xml:space="preserve">en </w:t>
      </w:r>
      <w:r w:rsidRPr="00C83269">
        <w:rPr>
          <w:rFonts w:cs="Calibri"/>
        </w:rPr>
        <w:t>2023 :</w:t>
      </w:r>
    </w:p>
    <w:p w14:paraId="13353BB2" w14:textId="387669BE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 xml:space="preserve">les matières premières secondaires  et </w:t>
      </w:r>
      <w:r w:rsidR="00256FFD">
        <w:rPr>
          <w:rFonts w:cs="Calibri"/>
        </w:rPr>
        <w:t xml:space="preserve">les </w:t>
      </w:r>
      <w:r w:rsidRPr="00C83269">
        <w:rPr>
          <w:rFonts w:cs="Calibri"/>
        </w:rPr>
        <w:t>déchets (industrie cimentière) : -777.470 tonnes, soit -33%,</w:t>
      </w:r>
    </w:p>
    <w:p w14:paraId="7C3FE072" w14:textId="77777777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>les produits minéraux (produits carriers) : -645.201 tonnes, soit -13%,</w:t>
      </w:r>
    </w:p>
    <w:p w14:paraId="39926BE0" w14:textId="77777777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>les produits du charbon : -507.712 tonnes, soit -42%,</w:t>
      </w:r>
    </w:p>
    <w:p w14:paraId="414150F5" w14:textId="77777777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>les marchandises diverses et les conteneurs : -455.284 tonnes, soit -50%,</w:t>
      </w:r>
    </w:p>
    <w:p w14:paraId="01CBA604" w14:textId="77777777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>le secteur métallique : -187.582 tonnes, soit -16%,</w:t>
      </w:r>
    </w:p>
    <w:p w14:paraId="7CACA737" w14:textId="77777777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>le secteur de l’agriculture : -116.587 tonnes, soit -23%,</w:t>
      </w:r>
    </w:p>
    <w:p w14:paraId="0697D8EE" w14:textId="77777777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>le secteur pétrolier : -26.737 tonnes, soit -1%,</w:t>
      </w:r>
    </w:p>
    <w:p w14:paraId="0A69D4E4" w14:textId="77777777" w:rsidR="00657C5F" w:rsidRPr="00C83269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lastRenderedPageBreak/>
        <w:t>le secteur chimique : -19.054 tonnes, soit -6%,</w:t>
      </w:r>
    </w:p>
    <w:p w14:paraId="6C15EBD7" w14:textId="01D5E8F4" w:rsidR="00657C5F" w:rsidRDefault="00657C5F" w:rsidP="00C8326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</w:rPr>
      </w:pPr>
      <w:r w:rsidRPr="00C83269">
        <w:rPr>
          <w:rFonts w:cs="Calibri"/>
        </w:rPr>
        <w:t>le secteur forestier : -15.363 tonnes, soit -25%.</w:t>
      </w:r>
    </w:p>
    <w:p w14:paraId="42AE9C89" w14:textId="77777777" w:rsidR="001D1D24" w:rsidRDefault="001D1D24" w:rsidP="001D1D24">
      <w:pPr>
        <w:spacing w:after="0" w:line="240" w:lineRule="auto"/>
        <w:jc w:val="both"/>
        <w:rPr>
          <w:rFonts w:cs="Calibri"/>
        </w:rPr>
      </w:pPr>
    </w:p>
    <w:p w14:paraId="14785D9E" w14:textId="77777777" w:rsidR="001D1D24" w:rsidRDefault="001D1D24" w:rsidP="001D1D24">
      <w:pPr>
        <w:spacing w:after="0" w:line="240" w:lineRule="auto"/>
        <w:jc w:val="both"/>
        <w:rPr>
          <w:rFonts w:cs="Calibri"/>
        </w:rPr>
      </w:pPr>
    </w:p>
    <w:p w14:paraId="310E59B1" w14:textId="77777777" w:rsidR="001D1D24" w:rsidRDefault="001D1D24" w:rsidP="001D1D24">
      <w:pPr>
        <w:spacing w:after="0" w:line="240" w:lineRule="auto"/>
        <w:jc w:val="both"/>
        <w:rPr>
          <w:rFonts w:cs="Calibri"/>
        </w:rPr>
      </w:pPr>
    </w:p>
    <w:p w14:paraId="183942A5" w14:textId="77777777" w:rsidR="009A618C" w:rsidRPr="00C83269" w:rsidRDefault="009A618C" w:rsidP="00C8326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b/>
          <w:bCs/>
          <w:i/>
        </w:rPr>
      </w:pPr>
      <w:r w:rsidRPr="00C83269">
        <w:rPr>
          <w:b/>
          <w:bCs/>
          <w:i/>
        </w:rPr>
        <w:t>Les conteneurs</w:t>
      </w:r>
    </w:p>
    <w:p w14:paraId="458FAB4E" w14:textId="351B0875" w:rsidR="00B12725" w:rsidRPr="00C83269" w:rsidRDefault="00B12725" w:rsidP="00C83269">
      <w:pPr>
        <w:spacing w:after="0" w:line="240" w:lineRule="auto"/>
        <w:jc w:val="both"/>
      </w:pPr>
      <w:r w:rsidRPr="00C83269">
        <w:t xml:space="preserve">Le </w:t>
      </w:r>
      <w:r w:rsidR="001D1D24">
        <w:t xml:space="preserve">trafic </w:t>
      </w:r>
      <w:r w:rsidRPr="00C83269">
        <w:t>de conteneurs a également diminué de 7 %, avec 83.431 équivalent vingt pieds (EVP, mesure de référence du secteur) manutentionnés en 2023 contre 89.520</w:t>
      </w:r>
      <w:r w:rsidR="00F479F5">
        <w:t xml:space="preserve"> EVP en 2022</w:t>
      </w:r>
      <w:r w:rsidRPr="00C83269">
        <w:t>. Ce recul s’inscrit dans une baisse globale des volumes conteneurisés manutentionnés </w:t>
      </w:r>
      <w:r w:rsidR="001D1D24">
        <w:t xml:space="preserve">en Europe. </w:t>
      </w:r>
    </w:p>
    <w:p w14:paraId="12387B84" w14:textId="77777777" w:rsidR="009A618C" w:rsidRPr="00C83269" w:rsidRDefault="009A618C" w:rsidP="00C83269">
      <w:pPr>
        <w:spacing w:after="0" w:line="240" w:lineRule="auto"/>
        <w:ind w:left="426"/>
        <w:jc w:val="both"/>
        <w:rPr>
          <w:rFonts w:cs="Calibri"/>
        </w:rPr>
      </w:pPr>
    </w:p>
    <w:p w14:paraId="1BE72D5B" w14:textId="26BF2FA8" w:rsidR="009A618C" w:rsidRDefault="00F479F5" w:rsidP="00C83269">
      <w:pPr>
        <w:spacing w:after="0" w:line="240" w:lineRule="auto"/>
        <w:jc w:val="both"/>
      </w:pPr>
      <w:r>
        <w:t>Ci-dessous</w:t>
      </w:r>
      <w:r w:rsidR="009A618C" w:rsidRPr="00C83269">
        <w:t xml:space="preserve"> l’évolution du trafic fluvial de conteneurs au Port autonome de Liège au cours de ces dernières années </w:t>
      </w:r>
      <w:r w:rsidR="00B12725" w:rsidRPr="00C83269">
        <w:t>sur l’ensemble des trois terminaux à conteneurs liégeois (Renory, Monsin et L</w:t>
      </w:r>
      <w:r w:rsidR="00107D73" w:rsidRPr="00C83269">
        <w:t>i</w:t>
      </w:r>
      <w:r w:rsidR="00B12725" w:rsidRPr="00C83269">
        <w:t>ège Trilogiport</w:t>
      </w:r>
      <w:r w:rsidR="00533CBB">
        <w:t xml:space="preserve">). </w:t>
      </w:r>
    </w:p>
    <w:p w14:paraId="053A69E3" w14:textId="77777777" w:rsidR="00533CBB" w:rsidRDefault="00533CBB" w:rsidP="00C83269">
      <w:pPr>
        <w:spacing w:after="0" w:line="240" w:lineRule="auto"/>
        <w:jc w:val="both"/>
      </w:pPr>
    </w:p>
    <w:p w14:paraId="1DBC76DA" w14:textId="06FB6ECF" w:rsidR="00A1749A" w:rsidRPr="00C83269" w:rsidRDefault="00F479F5" w:rsidP="00A1749A">
      <w:pPr>
        <w:spacing w:after="0" w:line="240" w:lineRule="auto"/>
        <w:jc w:val="both"/>
      </w:pPr>
      <w:r>
        <w:t xml:space="preserve">Une </w:t>
      </w:r>
      <w:r w:rsidR="00533CBB" w:rsidRPr="009C425F">
        <w:t xml:space="preserve">forte </w:t>
      </w:r>
      <w:r w:rsidR="009C425F">
        <w:t>croissance</w:t>
      </w:r>
      <w:r w:rsidR="00533CBB" w:rsidRPr="009C425F">
        <w:t xml:space="preserve"> des activités sur le terminal de la plate-forme Liège Trilogiport </w:t>
      </w:r>
      <w:r>
        <w:t xml:space="preserve">est toutefois constatée </w:t>
      </w:r>
      <w:r w:rsidR="00533CBB" w:rsidRPr="009C425F">
        <w:t>avec une augmentation de valeur ajoutée pour les conteneurs manipulés sur cette zone portuaire.</w:t>
      </w:r>
    </w:p>
    <w:p w14:paraId="5D403946" w14:textId="77777777" w:rsidR="00A1749A" w:rsidRPr="00C83269" w:rsidRDefault="00A1749A" w:rsidP="00C83269">
      <w:pPr>
        <w:spacing w:after="0" w:line="240" w:lineRule="auto"/>
        <w:jc w:val="both"/>
      </w:pPr>
    </w:p>
    <w:p w14:paraId="0EC3AA98" w14:textId="77777777" w:rsidR="009A618C" w:rsidRPr="00C83269" w:rsidRDefault="009A618C" w:rsidP="00C83269">
      <w:pPr>
        <w:spacing w:after="0" w:line="240" w:lineRule="auto"/>
        <w:jc w:val="both"/>
      </w:pPr>
    </w:p>
    <w:tbl>
      <w:tblPr>
        <w:tblW w:w="4621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20" w:firstRow="1" w:lastRow="0" w:firstColumn="0" w:lastColumn="0" w:noHBand="0" w:noVBand="0"/>
      </w:tblPr>
      <w:tblGrid>
        <w:gridCol w:w="1575"/>
        <w:gridCol w:w="2126"/>
        <w:gridCol w:w="920"/>
      </w:tblGrid>
      <w:tr w:rsidR="00C83269" w:rsidRPr="00C83269" w14:paraId="41DF3631" w14:textId="77777777" w:rsidTr="00435B6A">
        <w:trPr>
          <w:trHeight w:val="360"/>
          <w:jc w:val="center"/>
        </w:trPr>
        <w:tc>
          <w:tcPr>
            <w:tcW w:w="1575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037434FB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  <w:bCs/>
              </w:rPr>
            </w:pPr>
            <w:r w:rsidRPr="00C83269">
              <w:rPr>
                <w:b/>
                <w:bCs/>
              </w:rPr>
              <w:t>ANNEE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1C2137A9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  <w:bCs/>
              </w:rPr>
            </w:pPr>
            <w:r w:rsidRPr="00C83269">
              <w:rPr>
                <w:b/>
                <w:bCs/>
              </w:rPr>
              <w:t>NOMBRE EVP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416103E5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  <w:bCs/>
              </w:rPr>
            </w:pPr>
            <w:r w:rsidRPr="00C83269">
              <w:rPr>
                <w:b/>
                <w:bCs/>
              </w:rPr>
              <w:t>%</w:t>
            </w:r>
          </w:p>
        </w:tc>
      </w:tr>
      <w:tr w:rsidR="00C83269" w:rsidRPr="00C83269" w14:paraId="28E582EE" w14:textId="77777777" w:rsidTr="00435B6A">
        <w:trPr>
          <w:trHeight w:val="360"/>
          <w:jc w:val="center"/>
        </w:trPr>
        <w:tc>
          <w:tcPr>
            <w:tcW w:w="1575" w:type="dxa"/>
            <w:shd w:val="clear" w:color="auto" w:fill="auto"/>
            <w:noWrap/>
          </w:tcPr>
          <w:p w14:paraId="2B2ED303" w14:textId="77777777" w:rsidR="009A618C" w:rsidRPr="00C83269" w:rsidRDefault="009A618C" w:rsidP="00C83269">
            <w:pPr>
              <w:spacing w:after="0" w:line="240" w:lineRule="auto"/>
              <w:jc w:val="both"/>
              <w:rPr>
                <w:bCs/>
              </w:rPr>
            </w:pPr>
            <w:r w:rsidRPr="00C83269">
              <w:rPr>
                <w:bCs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</w:tcPr>
          <w:p w14:paraId="3E61F26E" w14:textId="77777777" w:rsidR="009A618C" w:rsidRPr="00C83269" w:rsidRDefault="009A618C" w:rsidP="00C83269">
            <w:pPr>
              <w:spacing w:after="0" w:line="240" w:lineRule="auto"/>
              <w:ind w:left="598"/>
              <w:jc w:val="both"/>
              <w:rPr>
                <w:bCs/>
              </w:rPr>
            </w:pPr>
            <w:r w:rsidRPr="00C83269">
              <w:rPr>
                <w:bCs/>
              </w:rPr>
              <w:t>96.220</w:t>
            </w:r>
          </w:p>
        </w:tc>
        <w:tc>
          <w:tcPr>
            <w:tcW w:w="920" w:type="dxa"/>
            <w:shd w:val="clear" w:color="auto" w:fill="auto"/>
            <w:noWrap/>
          </w:tcPr>
          <w:p w14:paraId="4E9E45B8" w14:textId="77777777" w:rsidR="009A618C" w:rsidRPr="00C83269" w:rsidRDefault="009A618C" w:rsidP="00C83269">
            <w:pPr>
              <w:spacing w:after="0" w:line="240" w:lineRule="auto"/>
              <w:ind w:left="-40"/>
              <w:jc w:val="both"/>
              <w:rPr>
                <w:bCs/>
              </w:rPr>
            </w:pPr>
            <w:r w:rsidRPr="00C83269">
              <w:rPr>
                <w:bCs/>
              </w:rPr>
              <w:t>+13</w:t>
            </w:r>
          </w:p>
        </w:tc>
      </w:tr>
      <w:tr w:rsidR="00C83269" w:rsidRPr="00C83269" w14:paraId="1E9C3767" w14:textId="77777777" w:rsidTr="00435B6A">
        <w:trPr>
          <w:trHeight w:val="360"/>
          <w:jc w:val="center"/>
        </w:trPr>
        <w:tc>
          <w:tcPr>
            <w:tcW w:w="1575" w:type="dxa"/>
            <w:shd w:val="clear" w:color="auto" w:fill="auto"/>
            <w:noWrap/>
          </w:tcPr>
          <w:p w14:paraId="07DCAB32" w14:textId="77777777" w:rsidR="009A618C" w:rsidRPr="00C83269" w:rsidRDefault="009A618C" w:rsidP="00C83269">
            <w:pPr>
              <w:spacing w:after="0" w:line="240" w:lineRule="auto"/>
              <w:jc w:val="both"/>
              <w:rPr>
                <w:bCs/>
              </w:rPr>
            </w:pPr>
            <w:r w:rsidRPr="00C8326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</w:tcPr>
          <w:p w14:paraId="37A062A0" w14:textId="77777777" w:rsidR="009A618C" w:rsidRPr="00C83269" w:rsidRDefault="009A618C" w:rsidP="00C83269">
            <w:pPr>
              <w:spacing w:after="0" w:line="240" w:lineRule="auto"/>
              <w:ind w:left="598"/>
              <w:jc w:val="both"/>
              <w:rPr>
                <w:bCs/>
              </w:rPr>
            </w:pPr>
            <w:r w:rsidRPr="00C83269">
              <w:rPr>
                <w:bCs/>
              </w:rPr>
              <w:t>115.220</w:t>
            </w:r>
          </w:p>
        </w:tc>
        <w:tc>
          <w:tcPr>
            <w:tcW w:w="920" w:type="dxa"/>
            <w:shd w:val="clear" w:color="auto" w:fill="auto"/>
            <w:noWrap/>
          </w:tcPr>
          <w:p w14:paraId="1EF45637" w14:textId="77777777" w:rsidR="009A618C" w:rsidRPr="00C83269" w:rsidRDefault="009A618C" w:rsidP="00C83269">
            <w:pPr>
              <w:spacing w:after="0" w:line="240" w:lineRule="auto"/>
              <w:ind w:left="-40"/>
              <w:jc w:val="both"/>
              <w:rPr>
                <w:bCs/>
              </w:rPr>
            </w:pPr>
            <w:r w:rsidRPr="00C83269">
              <w:rPr>
                <w:bCs/>
              </w:rPr>
              <w:t>+20</w:t>
            </w:r>
          </w:p>
        </w:tc>
      </w:tr>
      <w:tr w:rsidR="00C83269" w:rsidRPr="00C83269" w14:paraId="54A84D54" w14:textId="77777777" w:rsidTr="00435B6A">
        <w:trPr>
          <w:trHeight w:val="360"/>
          <w:jc w:val="center"/>
        </w:trPr>
        <w:tc>
          <w:tcPr>
            <w:tcW w:w="1575" w:type="dxa"/>
            <w:shd w:val="clear" w:color="auto" w:fill="auto"/>
            <w:noWrap/>
          </w:tcPr>
          <w:p w14:paraId="6A061F77" w14:textId="77777777" w:rsidR="009A618C" w:rsidRPr="00C83269" w:rsidRDefault="009A618C" w:rsidP="00C83269">
            <w:pPr>
              <w:spacing w:after="0" w:line="240" w:lineRule="auto"/>
              <w:jc w:val="both"/>
              <w:rPr>
                <w:bCs/>
              </w:rPr>
            </w:pPr>
            <w:r w:rsidRPr="00C83269">
              <w:rPr>
                <w:bCs/>
              </w:rPr>
              <w:t>2021</w:t>
            </w:r>
          </w:p>
        </w:tc>
        <w:tc>
          <w:tcPr>
            <w:tcW w:w="2126" w:type="dxa"/>
            <w:shd w:val="clear" w:color="auto" w:fill="auto"/>
            <w:noWrap/>
          </w:tcPr>
          <w:p w14:paraId="07F20927" w14:textId="77777777" w:rsidR="009A618C" w:rsidRPr="00C83269" w:rsidRDefault="009A618C" w:rsidP="00C83269">
            <w:pPr>
              <w:spacing w:after="0" w:line="240" w:lineRule="auto"/>
              <w:ind w:left="598"/>
              <w:jc w:val="both"/>
              <w:rPr>
                <w:bCs/>
              </w:rPr>
            </w:pPr>
            <w:r w:rsidRPr="00C83269">
              <w:rPr>
                <w:bCs/>
              </w:rPr>
              <w:t>113.909</w:t>
            </w:r>
          </w:p>
        </w:tc>
        <w:tc>
          <w:tcPr>
            <w:tcW w:w="920" w:type="dxa"/>
            <w:shd w:val="clear" w:color="auto" w:fill="auto"/>
            <w:noWrap/>
          </w:tcPr>
          <w:p w14:paraId="6B55C660" w14:textId="77777777" w:rsidR="009A618C" w:rsidRPr="00C83269" w:rsidRDefault="009A618C" w:rsidP="00C83269">
            <w:pPr>
              <w:spacing w:after="0" w:line="240" w:lineRule="auto"/>
              <w:ind w:left="-40"/>
              <w:jc w:val="both"/>
              <w:rPr>
                <w:bCs/>
              </w:rPr>
            </w:pPr>
            <w:r w:rsidRPr="00C83269">
              <w:rPr>
                <w:bCs/>
              </w:rPr>
              <w:t>-2</w:t>
            </w:r>
          </w:p>
        </w:tc>
      </w:tr>
      <w:tr w:rsidR="00C83269" w:rsidRPr="00C83269" w14:paraId="3ABFCBC8" w14:textId="77777777" w:rsidTr="00435B6A">
        <w:trPr>
          <w:trHeight w:val="360"/>
          <w:jc w:val="center"/>
        </w:trPr>
        <w:tc>
          <w:tcPr>
            <w:tcW w:w="1575" w:type="dxa"/>
            <w:shd w:val="clear" w:color="auto" w:fill="auto"/>
            <w:noWrap/>
          </w:tcPr>
          <w:p w14:paraId="57AB847A" w14:textId="77777777" w:rsidR="009A618C" w:rsidRPr="00C83269" w:rsidRDefault="009A618C" w:rsidP="00C83269">
            <w:pPr>
              <w:spacing w:after="0" w:line="240" w:lineRule="auto"/>
              <w:jc w:val="both"/>
              <w:rPr>
                <w:bCs/>
              </w:rPr>
            </w:pPr>
            <w:r w:rsidRPr="00C83269">
              <w:rPr>
                <w:bCs/>
              </w:rPr>
              <w:t>2022</w:t>
            </w:r>
          </w:p>
        </w:tc>
        <w:tc>
          <w:tcPr>
            <w:tcW w:w="2126" w:type="dxa"/>
            <w:shd w:val="clear" w:color="auto" w:fill="auto"/>
            <w:noWrap/>
          </w:tcPr>
          <w:p w14:paraId="6A062AEA" w14:textId="77777777" w:rsidR="009A618C" w:rsidRPr="00C83269" w:rsidRDefault="009A618C" w:rsidP="00C83269">
            <w:pPr>
              <w:spacing w:after="0" w:line="240" w:lineRule="auto"/>
              <w:ind w:left="598"/>
              <w:jc w:val="both"/>
              <w:rPr>
                <w:bCs/>
              </w:rPr>
            </w:pPr>
            <w:r w:rsidRPr="00C83269">
              <w:rPr>
                <w:bCs/>
              </w:rPr>
              <w:t>89.520</w:t>
            </w:r>
          </w:p>
        </w:tc>
        <w:tc>
          <w:tcPr>
            <w:tcW w:w="920" w:type="dxa"/>
            <w:shd w:val="clear" w:color="auto" w:fill="auto"/>
            <w:noWrap/>
          </w:tcPr>
          <w:p w14:paraId="09A930BF" w14:textId="77777777" w:rsidR="009A618C" w:rsidRPr="00C83269" w:rsidRDefault="009A618C" w:rsidP="00C83269">
            <w:pPr>
              <w:spacing w:after="0" w:line="240" w:lineRule="auto"/>
              <w:ind w:left="-40"/>
              <w:jc w:val="both"/>
              <w:rPr>
                <w:bCs/>
              </w:rPr>
            </w:pPr>
            <w:r w:rsidRPr="00C83269">
              <w:rPr>
                <w:bCs/>
              </w:rPr>
              <w:t>-21</w:t>
            </w:r>
          </w:p>
        </w:tc>
      </w:tr>
      <w:tr w:rsidR="00C83269" w:rsidRPr="00C83269" w14:paraId="552D6D1C" w14:textId="77777777" w:rsidTr="00435B6A">
        <w:trPr>
          <w:trHeight w:val="360"/>
          <w:jc w:val="center"/>
        </w:trPr>
        <w:tc>
          <w:tcPr>
            <w:tcW w:w="1575" w:type="dxa"/>
            <w:shd w:val="clear" w:color="auto" w:fill="auto"/>
            <w:noWrap/>
          </w:tcPr>
          <w:p w14:paraId="6AF97A91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</w:rPr>
            </w:pPr>
            <w:r w:rsidRPr="00C83269"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auto"/>
            <w:noWrap/>
          </w:tcPr>
          <w:p w14:paraId="7FDFEE61" w14:textId="77777777" w:rsidR="009A618C" w:rsidRPr="00C83269" w:rsidRDefault="009A618C" w:rsidP="00C83269">
            <w:pPr>
              <w:spacing w:after="0" w:line="240" w:lineRule="auto"/>
              <w:ind w:left="598"/>
              <w:jc w:val="both"/>
              <w:rPr>
                <w:b/>
              </w:rPr>
            </w:pPr>
            <w:r w:rsidRPr="00C83269">
              <w:rPr>
                <w:b/>
              </w:rPr>
              <w:t>83.431</w:t>
            </w:r>
          </w:p>
        </w:tc>
        <w:tc>
          <w:tcPr>
            <w:tcW w:w="920" w:type="dxa"/>
            <w:shd w:val="clear" w:color="auto" w:fill="auto"/>
            <w:noWrap/>
          </w:tcPr>
          <w:p w14:paraId="4CC8FA0C" w14:textId="77777777" w:rsidR="009A618C" w:rsidRPr="00C83269" w:rsidRDefault="009A618C" w:rsidP="00C83269">
            <w:pPr>
              <w:spacing w:after="0" w:line="240" w:lineRule="auto"/>
              <w:ind w:left="-40"/>
              <w:jc w:val="both"/>
              <w:rPr>
                <w:b/>
              </w:rPr>
            </w:pPr>
            <w:r w:rsidRPr="00C83269">
              <w:rPr>
                <w:b/>
              </w:rPr>
              <w:t>-7</w:t>
            </w:r>
          </w:p>
        </w:tc>
      </w:tr>
    </w:tbl>
    <w:p w14:paraId="472AB491" w14:textId="77777777" w:rsidR="00B12725" w:rsidRPr="00C83269" w:rsidRDefault="00B12725" w:rsidP="00C83269">
      <w:pPr>
        <w:spacing w:after="0" w:line="240" w:lineRule="auto"/>
        <w:jc w:val="both"/>
      </w:pPr>
    </w:p>
    <w:p w14:paraId="13E30E97" w14:textId="77777777" w:rsidR="009A618C" w:rsidRPr="00C83269" w:rsidRDefault="009A618C" w:rsidP="00C83269">
      <w:pPr>
        <w:spacing w:after="0" w:line="240" w:lineRule="auto"/>
        <w:jc w:val="both"/>
      </w:pPr>
    </w:p>
    <w:p w14:paraId="08B372BA" w14:textId="77777777" w:rsidR="009A618C" w:rsidRPr="00C83269" w:rsidRDefault="009A618C" w:rsidP="00C8326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b/>
          <w:bCs/>
          <w:i/>
        </w:rPr>
      </w:pPr>
      <w:r w:rsidRPr="00C83269">
        <w:rPr>
          <w:b/>
          <w:bCs/>
          <w:i/>
        </w:rPr>
        <w:t xml:space="preserve">La navigation maritime </w:t>
      </w:r>
    </w:p>
    <w:p w14:paraId="67450210" w14:textId="77777777" w:rsidR="009A618C" w:rsidRPr="00C83269" w:rsidRDefault="009A618C" w:rsidP="00C83269">
      <w:pPr>
        <w:spacing w:after="0" w:line="240" w:lineRule="auto"/>
        <w:jc w:val="both"/>
        <w:rPr>
          <w:b/>
          <w:bCs/>
          <w:i/>
        </w:rPr>
      </w:pPr>
    </w:p>
    <w:tbl>
      <w:tblPr>
        <w:tblW w:w="0" w:type="auto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560"/>
        <w:gridCol w:w="1701"/>
      </w:tblGrid>
      <w:tr w:rsidR="00C83269" w:rsidRPr="00C83269" w14:paraId="1EFA8BD9" w14:textId="77777777" w:rsidTr="00533B54">
        <w:tc>
          <w:tcPr>
            <w:tcW w:w="1555" w:type="dxa"/>
            <w:shd w:val="clear" w:color="auto" w:fill="auto"/>
          </w:tcPr>
          <w:p w14:paraId="5D6D1E5D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  <w:bCs/>
              </w:rPr>
            </w:pPr>
            <w:r w:rsidRPr="00C83269">
              <w:rPr>
                <w:b/>
                <w:bCs/>
              </w:rPr>
              <w:t>Année</w:t>
            </w:r>
          </w:p>
        </w:tc>
        <w:tc>
          <w:tcPr>
            <w:tcW w:w="2409" w:type="dxa"/>
            <w:shd w:val="clear" w:color="auto" w:fill="auto"/>
          </w:tcPr>
          <w:p w14:paraId="3E32CDF8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  <w:bCs/>
              </w:rPr>
            </w:pPr>
            <w:r w:rsidRPr="00C83269">
              <w:rPr>
                <w:b/>
                <w:bCs/>
              </w:rPr>
              <w:t>Nombre de bateaux</w:t>
            </w:r>
          </w:p>
        </w:tc>
        <w:tc>
          <w:tcPr>
            <w:tcW w:w="1560" w:type="dxa"/>
            <w:shd w:val="clear" w:color="auto" w:fill="auto"/>
          </w:tcPr>
          <w:p w14:paraId="3E148A6C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  <w:bCs/>
              </w:rPr>
            </w:pPr>
            <w:r w:rsidRPr="00C83269">
              <w:rPr>
                <w:b/>
                <w:bCs/>
              </w:rPr>
              <w:t>Evolution</w:t>
            </w:r>
          </w:p>
        </w:tc>
        <w:tc>
          <w:tcPr>
            <w:tcW w:w="1701" w:type="dxa"/>
            <w:shd w:val="clear" w:color="auto" w:fill="auto"/>
          </w:tcPr>
          <w:p w14:paraId="350F1738" w14:textId="77777777" w:rsidR="009A618C" w:rsidRPr="00C83269" w:rsidRDefault="009A618C" w:rsidP="00C83269">
            <w:pPr>
              <w:spacing w:after="0" w:line="240" w:lineRule="auto"/>
              <w:jc w:val="both"/>
              <w:rPr>
                <w:b/>
                <w:bCs/>
              </w:rPr>
            </w:pPr>
            <w:r w:rsidRPr="00C83269">
              <w:rPr>
                <w:b/>
                <w:bCs/>
              </w:rPr>
              <w:t>%</w:t>
            </w:r>
          </w:p>
        </w:tc>
      </w:tr>
      <w:tr w:rsidR="00C83269" w:rsidRPr="00C83269" w14:paraId="49B1C42B" w14:textId="77777777" w:rsidTr="00533B54">
        <w:tc>
          <w:tcPr>
            <w:tcW w:w="1555" w:type="dxa"/>
            <w:shd w:val="clear" w:color="auto" w:fill="auto"/>
            <w:vAlign w:val="center"/>
          </w:tcPr>
          <w:p w14:paraId="0CD3C8C5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C9E53D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C2D6D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+28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78763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+32 %</w:t>
            </w:r>
          </w:p>
        </w:tc>
      </w:tr>
      <w:tr w:rsidR="00C83269" w:rsidRPr="00C83269" w14:paraId="3C07D905" w14:textId="77777777" w:rsidTr="00533B54">
        <w:tc>
          <w:tcPr>
            <w:tcW w:w="1555" w:type="dxa"/>
            <w:shd w:val="clear" w:color="auto" w:fill="auto"/>
            <w:vAlign w:val="center"/>
          </w:tcPr>
          <w:p w14:paraId="43BF9258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5E02F3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122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3FAF8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+6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FDC01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+5 %</w:t>
            </w:r>
          </w:p>
        </w:tc>
      </w:tr>
      <w:tr w:rsidR="00C83269" w:rsidRPr="00C83269" w14:paraId="1B3CE919" w14:textId="77777777" w:rsidTr="00533B54">
        <w:tc>
          <w:tcPr>
            <w:tcW w:w="1555" w:type="dxa"/>
            <w:shd w:val="clear" w:color="auto" w:fill="auto"/>
            <w:vAlign w:val="center"/>
          </w:tcPr>
          <w:p w14:paraId="141D79AC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2019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D181B1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156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944B6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+34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DB2B0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+28 %</w:t>
            </w:r>
          </w:p>
        </w:tc>
      </w:tr>
      <w:tr w:rsidR="00C83269" w:rsidRPr="00C83269" w14:paraId="389F86BE" w14:textId="77777777" w:rsidTr="00533B54">
        <w:tc>
          <w:tcPr>
            <w:tcW w:w="1555" w:type="dxa"/>
            <w:shd w:val="clear" w:color="auto" w:fill="auto"/>
            <w:vAlign w:val="center"/>
          </w:tcPr>
          <w:p w14:paraId="0AC731C9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2020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CDAD5C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8064E2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-37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105D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-24 %</w:t>
            </w:r>
          </w:p>
        </w:tc>
      </w:tr>
      <w:tr w:rsidR="00C83269" w:rsidRPr="00C83269" w14:paraId="4404D1B5" w14:textId="77777777" w:rsidTr="00533B54">
        <w:tc>
          <w:tcPr>
            <w:tcW w:w="1555" w:type="dxa"/>
            <w:shd w:val="clear" w:color="auto" w:fill="auto"/>
            <w:vAlign w:val="center"/>
          </w:tcPr>
          <w:p w14:paraId="5B010163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2021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9F0F0D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148A2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C1957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-37 %</w:t>
            </w:r>
          </w:p>
        </w:tc>
      </w:tr>
      <w:tr w:rsidR="00C83269" w:rsidRPr="00C83269" w14:paraId="5077DB28" w14:textId="77777777" w:rsidTr="00533B54">
        <w:tc>
          <w:tcPr>
            <w:tcW w:w="1555" w:type="dxa"/>
            <w:shd w:val="clear" w:color="auto" w:fill="auto"/>
            <w:vAlign w:val="center"/>
          </w:tcPr>
          <w:p w14:paraId="07EDED74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BB2B18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711B27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B5C12" w14:textId="77777777" w:rsidR="009A618C" w:rsidRPr="00C83269" w:rsidRDefault="009A618C" w:rsidP="00C83269">
            <w:pPr>
              <w:pStyle w:val="Paragraphedeliste"/>
              <w:spacing w:after="0" w:line="240" w:lineRule="auto"/>
              <w:ind w:left="0"/>
              <w:jc w:val="both"/>
              <w:rPr>
                <w:rFonts w:eastAsia="Times New Roman"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-59 %</w:t>
            </w:r>
          </w:p>
        </w:tc>
      </w:tr>
      <w:tr w:rsidR="00C83269" w:rsidRPr="00C83269" w14:paraId="1DF8354C" w14:textId="77777777" w:rsidTr="00533B54">
        <w:tc>
          <w:tcPr>
            <w:tcW w:w="1555" w:type="dxa"/>
            <w:shd w:val="clear" w:color="auto" w:fill="auto"/>
            <w:vAlign w:val="center"/>
          </w:tcPr>
          <w:p w14:paraId="211F6559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fr-BE"/>
              </w:rPr>
            </w:pPr>
            <w:r w:rsidRPr="00C83269">
              <w:rPr>
                <w:rFonts w:eastAsia="Times New Roman"/>
                <w:b/>
                <w:bCs/>
                <w:lang w:eastAsia="fr-BE"/>
              </w:rPr>
              <w:t>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7FDCAD" w14:textId="77777777" w:rsidR="009A618C" w:rsidRPr="00C83269" w:rsidRDefault="009A618C" w:rsidP="00C8326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fr-BE"/>
              </w:rPr>
            </w:pPr>
            <w:r w:rsidRPr="00C83269">
              <w:rPr>
                <w:rFonts w:eastAsia="Times New Roman"/>
                <w:b/>
                <w:bCs/>
                <w:lang w:eastAsia="fr-BE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41AE6A" w14:textId="77777777" w:rsidR="009A618C" w:rsidRPr="00C83269" w:rsidRDefault="009A618C" w:rsidP="00C83269">
            <w:pPr>
              <w:pStyle w:val="Paragraphedeliste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lang w:eastAsia="fr-BE"/>
              </w:rPr>
            </w:pPr>
            <w:r w:rsidRPr="00C83269">
              <w:rPr>
                <w:rFonts w:eastAsia="Times New Roman"/>
                <w:lang w:eastAsia="fr-BE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D02FB" w14:textId="77777777" w:rsidR="009A618C" w:rsidRPr="00C83269" w:rsidRDefault="009A618C" w:rsidP="00C83269">
            <w:pPr>
              <w:pStyle w:val="Paragraphedeliste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lang w:eastAsia="fr-BE"/>
              </w:rPr>
            </w:pPr>
            <w:r w:rsidRPr="00C83269">
              <w:rPr>
                <w:rFonts w:eastAsia="Times New Roman"/>
                <w:b/>
                <w:bCs/>
                <w:lang w:eastAsia="fr-BE"/>
              </w:rPr>
              <w:t>0 %</w:t>
            </w:r>
          </w:p>
        </w:tc>
      </w:tr>
    </w:tbl>
    <w:p w14:paraId="56215D7B" w14:textId="77777777" w:rsidR="009A618C" w:rsidRPr="00C83269" w:rsidRDefault="009A618C" w:rsidP="00C83269">
      <w:pPr>
        <w:spacing w:after="0" w:line="240" w:lineRule="auto"/>
        <w:jc w:val="both"/>
      </w:pPr>
    </w:p>
    <w:p w14:paraId="68A17AA2" w14:textId="3B983754" w:rsidR="009A618C" w:rsidRPr="00C83269" w:rsidRDefault="009A618C" w:rsidP="00C83269">
      <w:pPr>
        <w:spacing w:after="0" w:line="240" w:lineRule="auto"/>
        <w:jc w:val="both"/>
      </w:pPr>
      <w:r w:rsidRPr="00C83269">
        <w:t xml:space="preserve">Ce mode de transport exporte principalement des aciers spéciaux pour le secteur automobile. La faillite du sidérurgiste Liberty Steel a </w:t>
      </w:r>
      <w:r w:rsidR="00E60CD1" w:rsidRPr="00C83269">
        <w:t xml:space="preserve">également </w:t>
      </w:r>
      <w:r w:rsidRPr="00C83269">
        <w:t>entraîné une forte réduction de son usage.</w:t>
      </w:r>
      <w:r w:rsidR="00E60CD1" w:rsidRPr="00C83269">
        <w:t xml:space="preserve"> </w:t>
      </w:r>
      <w:r w:rsidRPr="00C83269">
        <w:t>54.895 tonnes d’acier ont été exportées vers la Grande-Bretagne en 2023.</w:t>
      </w:r>
    </w:p>
    <w:p w14:paraId="15EA8D85" w14:textId="77777777" w:rsidR="009A618C" w:rsidRPr="00C83269" w:rsidRDefault="009A618C" w:rsidP="00C83269">
      <w:pPr>
        <w:spacing w:after="0" w:line="240" w:lineRule="auto"/>
        <w:jc w:val="both"/>
      </w:pPr>
    </w:p>
    <w:p w14:paraId="5F1C5BB4" w14:textId="14B45F48" w:rsidR="009A618C" w:rsidRPr="007E2DB6" w:rsidRDefault="009A618C" w:rsidP="007E2DB6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b/>
          <w:bCs/>
          <w:i/>
        </w:rPr>
      </w:pPr>
      <w:r w:rsidRPr="00C83269">
        <w:rPr>
          <w:b/>
          <w:bCs/>
          <w:i/>
        </w:rPr>
        <w:t>Analyse des résultats fluvio-maritimes</w:t>
      </w:r>
    </w:p>
    <w:p w14:paraId="5DF6E9A5" w14:textId="3FFDC20D" w:rsidR="009A618C" w:rsidRPr="00C83269" w:rsidRDefault="00C82975" w:rsidP="00C83269">
      <w:pPr>
        <w:spacing w:after="0" w:line="240" w:lineRule="auto"/>
        <w:jc w:val="both"/>
      </w:pPr>
      <w:r w:rsidRPr="00C83269">
        <w:t xml:space="preserve">Ces diminutions de trafics </w:t>
      </w:r>
      <w:r w:rsidR="009A618C" w:rsidRPr="00C83269">
        <w:t>ont des origines multiples. Parmi les plus importantes, citons :</w:t>
      </w:r>
    </w:p>
    <w:p w14:paraId="7FB550CE" w14:textId="77777777" w:rsidR="00C82975" w:rsidRPr="00C83269" w:rsidRDefault="009A618C" w:rsidP="00C83269">
      <w:pPr>
        <w:pStyle w:val="Paragraphedeliste"/>
        <w:numPr>
          <w:ilvl w:val="0"/>
          <w:numId w:val="26"/>
        </w:numPr>
        <w:spacing w:after="0" w:line="240" w:lineRule="auto"/>
        <w:jc w:val="both"/>
      </w:pPr>
      <w:r w:rsidRPr="00C83269">
        <w:t>La con</w:t>
      </w:r>
      <w:r w:rsidR="00C82975" w:rsidRPr="00C83269">
        <w:t>jon</w:t>
      </w:r>
      <w:r w:rsidRPr="00C83269">
        <w:t>cture internationale. Les principaux ports européens sont en recul :</w:t>
      </w:r>
    </w:p>
    <w:p w14:paraId="06469ED6" w14:textId="55C51616" w:rsidR="00C82975" w:rsidRPr="00C83269" w:rsidRDefault="008D6649" w:rsidP="00C83269">
      <w:pPr>
        <w:pStyle w:val="Paragraphedeliste"/>
        <w:numPr>
          <w:ilvl w:val="1"/>
          <w:numId w:val="26"/>
        </w:numPr>
        <w:spacing w:after="0" w:line="240" w:lineRule="auto"/>
        <w:jc w:val="both"/>
      </w:pPr>
      <w:r>
        <w:t>-</w:t>
      </w:r>
      <w:r w:rsidR="009A618C" w:rsidRPr="00C83269">
        <w:t>6% pour Rotterdam et Anvers-Bruges,</w:t>
      </w:r>
    </w:p>
    <w:p w14:paraId="595A7FFB" w14:textId="40056A49" w:rsidR="00C82975" w:rsidRPr="00C83269" w:rsidRDefault="008D6649" w:rsidP="00C83269">
      <w:pPr>
        <w:pStyle w:val="Paragraphedeliste"/>
        <w:numPr>
          <w:ilvl w:val="1"/>
          <w:numId w:val="26"/>
        </w:numPr>
        <w:spacing w:after="0" w:line="240" w:lineRule="auto"/>
        <w:jc w:val="both"/>
      </w:pPr>
      <w:r>
        <w:t>-</w:t>
      </w:r>
      <w:r w:rsidR="009A618C" w:rsidRPr="00C83269">
        <w:t>11% pour North Sea Port (Gand, Terneuzen,Vlissingen),</w:t>
      </w:r>
    </w:p>
    <w:p w14:paraId="67B7793B" w14:textId="6F3E18F8" w:rsidR="009A618C" w:rsidRDefault="008D6649" w:rsidP="00C83269">
      <w:pPr>
        <w:pStyle w:val="Paragraphedeliste"/>
        <w:numPr>
          <w:ilvl w:val="1"/>
          <w:numId w:val="26"/>
        </w:numPr>
        <w:spacing w:after="0" w:line="240" w:lineRule="auto"/>
        <w:jc w:val="both"/>
      </w:pPr>
      <w:r>
        <w:t>-</w:t>
      </w:r>
      <w:r w:rsidR="009A618C" w:rsidRPr="00C83269">
        <w:t>5% pour Haropa (Le Havre, Rouen, Paris)</w:t>
      </w:r>
      <w:r>
        <w:t xml:space="preserve">, </w:t>
      </w:r>
    </w:p>
    <w:p w14:paraId="68F7B2EB" w14:textId="1B79D254" w:rsidR="008D6649" w:rsidRDefault="008D6649" w:rsidP="00C83269">
      <w:pPr>
        <w:pStyle w:val="Paragraphedeliste"/>
        <w:numPr>
          <w:ilvl w:val="1"/>
          <w:numId w:val="26"/>
        </w:numPr>
        <w:spacing w:after="0" w:line="240" w:lineRule="auto"/>
        <w:jc w:val="both"/>
      </w:pPr>
      <w:r>
        <w:t>-5% pour Hambourg,</w:t>
      </w:r>
    </w:p>
    <w:p w14:paraId="04C3F981" w14:textId="707EC6E9" w:rsidR="008D6649" w:rsidRPr="00C83269" w:rsidRDefault="008D6649" w:rsidP="00C83269">
      <w:pPr>
        <w:pStyle w:val="Paragraphedeliste"/>
        <w:numPr>
          <w:ilvl w:val="1"/>
          <w:numId w:val="26"/>
        </w:numPr>
        <w:spacing w:after="0" w:line="240" w:lineRule="auto"/>
        <w:jc w:val="both"/>
      </w:pPr>
      <w:r>
        <w:t>-10% pour Bruxelles…</w:t>
      </w:r>
    </w:p>
    <w:p w14:paraId="04B2C931" w14:textId="77777777" w:rsidR="009A618C" w:rsidRPr="00C83269" w:rsidRDefault="009A618C" w:rsidP="00C83269">
      <w:pPr>
        <w:spacing w:after="0" w:line="240" w:lineRule="auto"/>
        <w:jc w:val="both"/>
      </w:pPr>
    </w:p>
    <w:p w14:paraId="59DD20D6" w14:textId="02F847C9" w:rsidR="009A618C" w:rsidRPr="00C83269" w:rsidRDefault="009A618C" w:rsidP="00C83269">
      <w:pPr>
        <w:pStyle w:val="Paragraphedeliste"/>
        <w:numPr>
          <w:ilvl w:val="0"/>
          <w:numId w:val="26"/>
        </w:numPr>
        <w:spacing w:after="0" w:line="240" w:lineRule="auto"/>
        <w:jc w:val="both"/>
      </w:pPr>
      <w:r w:rsidRPr="00C83269">
        <w:t>L’obsolescence programmée de la phase sidérurgique à froid du bassin liégeois.</w:t>
      </w:r>
    </w:p>
    <w:p w14:paraId="134188E3" w14:textId="77777777" w:rsidR="009A618C" w:rsidRPr="00C83269" w:rsidRDefault="009A618C" w:rsidP="00C83269">
      <w:pPr>
        <w:pStyle w:val="Paragraphedeliste"/>
        <w:spacing w:after="0" w:line="240" w:lineRule="auto"/>
        <w:jc w:val="both"/>
      </w:pPr>
    </w:p>
    <w:p w14:paraId="7C951635" w14:textId="40B442EB" w:rsidR="009A618C" w:rsidRPr="00C83269" w:rsidRDefault="009A618C" w:rsidP="00C83269">
      <w:pPr>
        <w:pStyle w:val="Paragraphedeliste"/>
        <w:numPr>
          <w:ilvl w:val="0"/>
          <w:numId w:val="26"/>
        </w:numPr>
        <w:spacing w:after="0" w:line="240" w:lineRule="auto"/>
        <w:jc w:val="both"/>
      </w:pPr>
      <w:r w:rsidRPr="00C83269">
        <w:lastRenderedPageBreak/>
        <w:t>La mauvaise tenue des principaux secteurs historiques et représentatifs du transport par voie d’eau (laitiers pour les cimenteries, charbons pour les centrales électriques et produits carriers pour la construction).</w:t>
      </w:r>
    </w:p>
    <w:p w14:paraId="120CAF3E" w14:textId="77777777" w:rsidR="00533CBB" w:rsidRDefault="00533CBB" w:rsidP="00C83269">
      <w:pPr>
        <w:spacing w:after="0" w:line="240" w:lineRule="auto"/>
        <w:jc w:val="both"/>
      </w:pPr>
    </w:p>
    <w:p w14:paraId="3B566006" w14:textId="77777777" w:rsidR="007E2DB6" w:rsidRDefault="007E2DB6" w:rsidP="00C83269">
      <w:pPr>
        <w:spacing w:after="0" w:line="240" w:lineRule="auto"/>
        <w:jc w:val="both"/>
      </w:pPr>
    </w:p>
    <w:p w14:paraId="50597980" w14:textId="77777777" w:rsidR="00533CBB" w:rsidRPr="00C83269" w:rsidRDefault="00533CBB" w:rsidP="00C83269">
      <w:pPr>
        <w:spacing w:after="0" w:line="240" w:lineRule="auto"/>
        <w:jc w:val="both"/>
      </w:pPr>
    </w:p>
    <w:p w14:paraId="682D8581" w14:textId="136B4B35" w:rsidR="00107D73" w:rsidRPr="002D1856" w:rsidRDefault="00107D73" w:rsidP="00107D73">
      <w:pPr>
        <w:pStyle w:val="Chapitre"/>
        <w:spacing w:after="0" w:line="240" w:lineRule="auto"/>
        <w:rPr>
          <w:rFonts w:cs="Arial"/>
        </w:rPr>
      </w:pPr>
      <w:r>
        <w:rPr>
          <w:rFonts w:cs="Arial"/>
        </w:rPr>
        <w:t>2. Trafic global (eau-rail-route)</w:t>
      </w:r>
    </w:p>
    <w:p w14:paraId="7E81ED0E" w14:textId="77777777" w:rsidR="009A618C" w:rsidRDefault="009A618C" w:rsidP="009A618C">
      <w:pPr>
        <w:spacing w:after="0" w:line="240" w:lineRule="auto"/>
        <w:jc w:val="both"/>
      </w:pPr>
    </w:p>
    <w:p w14:paraId="2FF89429" w14:textId="77777777" w:rsidR="009A618C" w:rsidRPr="002A7DB4" w:rsidRDefault="009A618C" w:rsidP="009A618C">
      <w:pPr>
        <w:spacing w:after="0" w:line="240" w:lineRule="auto"/>
        <w:jc w:val="both"/>
      </w:pPr>
    </w:p>
    <w:tbl>
      <w:tblPr>
        <w:tblW w:w="7864" w:type="dxa"/>
        <w:tblInd w:w="64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60" w:firstRow="1" w:lastRow="1" w:firstColumn="0" w:lastColumn="0" w:noHBand="0" w:noVBand="0"/>
      </w:tblPr>
      <w:tblGrid>
        <w:gridCol w:w="1815"/>
        <w:gridCol w:w="1648"/>
        <w:gridCol w:w="1701"/>
        <w:gridCol w:w="1546"/>
        <w:gridCol w:w="1154"/>
      </w:tblGrid>
      <w:tr w:rsidR="009A618C" w:rsidRPr="002A7DB4" w14:paraId="7077BC4F" w14:textId="77777777" w:rsidTr="00435B6A">
        <w:trPr>
          <w:trHeight w:val="300"/>
        </w:trPr>
        <w:tc>
          <w:tcPr>
            <w:tcW w:w="1815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6E58AE80" w14:textId="77777777" w:rsidR="009A618C" w:rsidRPr="002A7DB4" w:rsidRDefault="009A618C" w:rsidP="00435B6A">
            <w:pPr>
              <w:spacing w:after="0" w:line="240" w:lineRule="auto"/>
              <w:ind w:left="180"/>
              <w:rPr>
                <w:b/>
                <w:bCs/>
              </w:rPr>
            </w:pPr>
            <w:r w:rsidRPr="002A7DB4">
              <w:rPr>
                <w:b/>
                <w:bCs/>
              </w:rPr>
              <w:t>Mode</w:t>
            </w:r>
          </w:p>
        </w:tc>
        <w:tc>
          <w:tcPr>
            <w:tcW w:w="1648" w:type="dxa"/>
            <w:tcBorders>
              <w:bottom w:val="single" w:sz="12" w:space="0" w:color="000000"/>
            </w:tcBorders>
            <w:vAlign w:val="center"/>
          </w:tcPr>
          <w:p w14:paraId="5B2B5AE3" w14:textId="77777777" w:rsidR="009A618C" w:rsidRPr="002A7DB4" w:rsidRDefault="009A618C" w:rsidP="00435B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294A9002" w14:textId="77777777" w:rsidR="009A618C" w:rsidRPr="002A7DB4" w:rsidRDefault="009A618C" w:rsidP="00435B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2C835287" w14:textId="77777777" w:rsidR="009A618C" w:rsidRPr="002A7DB4" w:rsidRDefault="009A618C" w:rsidP="00435B6A">
            <w:pPr>
              <w:spacing w:after="0" w:line="240" w:lineRule="auto"/>
              <w:jc w:val="center"/>
              <w:rPr>
                <w:b/>
                <w:bCs/>
              </w:rPr>
            </w:pPr>
            <w:r w:rsidRPr="002A7DB4">
              <w:rPr>
                <w:b/>
                <w:bCs/>
              </w:rPr>
              <w:t>Variation</w:t>
            </w:r>
          </w:p>
        </w:tc>
        <w:tc>
          <w:tcPr>
            <w:tcW w:w="1154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4501C88E" w14:textId="77777777" w:rsidR="009A618C" w:rsidRPr="002A7DB4" w:rsidRDefault="009A618C" w:rsidP="00435B6A">
            <w:pPr>
              <w:spacing w:after="0" w:line="240" w:lineRule="auto"/>
              <w:jc w:val="center"/>
              <w:rPr>
                <w:b/>
                <w:bCs/>
              </w:rPr>
            </w:pPr>
            <w:r w:rsidRPr="002A7DB4">
              <w:rPr>
                <w:b/>
                <w:bCs/>
              </w:rPr>
              <w:t>%</w:t>
            </w:r>
          </w:p>
        </w:tc>
      </w:tr>
      <w:tr w:rsidR="009A618C" w:rsidRPr="002A7DB4" w14:paraId="6043A019" w14:textId="77777777" w:rsidTr="00435B6A">
        <w:trPr>
          <w:trHeight w:val="300"/>
        </w:trPr>
        <w:tc>
          <w:tcPr>
            <w:tcW w:w="1815" w:type="dxa"/>
            <w:shd w:val="clear" w:color="auto" w:fill="auto"/>
            <w:noWrap/>
          </w:tcPr>
          <w:p w14:paraId="3C8022E7" w14:textId="77777777" w:rsidR="009A618C" w:rsidRPr="002A7DB4" w:rsidRDefault="009A618C" w:rsidP="00435B6A">
            <w:pPr>
              <w:spacing w:after="0" w:line="240" w:lineRule="auto"/>
              <w:jc w:val="both"/>
            </w:pPr>
            <w:r w:rsidRPr="002A7DB4">
              <w:t xml:space="preserve"> Voie d'eau</w:t>
            </w:r>
          </w:p>
        </w:tc>
        <w:tc>
          <w:tcPr>
            <w:tcW w:w="1648" w:type="dxa"/>
            <w:vAlign w:val="center"/>
          </w:tcPr>
          <w:p w14:paraId="1AC7C9AB" w14:textId="77777777" w:rsidR="009A618C" w:rsidRDefault="009A618C" w:rsidP="00435B6A">
            <w:pPr>
              <w:spacing w:after="0" w:line="240" w:lineRule="auto"/>
              <w:ind w:left="-13"/>
              <w:jc w:val="center"/>
            </w:pPr>
            <w:r>
              <w:t>11.755.783</w:t>
            </w:r>
          </w:p>
        </w:tc>
        <w:tc>
          <w:tcPr>
            <w:tcW w:w="1701" w:type="dxa"/>
            <w:vAlign w:val="center"/>
          </w:tcPr>
          <w:p w14:paraId="7D905F1D" w14:textId="77777777" w:rsidR="009A618C" w:rsidRDefault="009A618C" w:rsidP="00435B6A">
            <w:pPr>
              <w:spacing w:after="0" w:line="240" w:lineRule="auto"/>
              <w:jc w:val="center"/>
            </w:pPr>
            <w:r>
              <w:t>14.550.481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269DCC01" w14:textId="77777777" w:rsidR="009A618C" w:rsidRPr="002A7DB4" w:rsidRDefault="009A618C" w:rsidP="00435B6A">
            <w:pPr>
              <w:spacing w:after="0" w:line="240" w:lineRule="auto"/>
              <w:jc w:val="center"/>
            </w:pPr>
            <w:r>
              <w:t>-2.794.698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EA80E92" w14:textId="1A58BA0B" w:rsidR="009A618C" w:rsidRPr="002A7DB4" w:rsidRDefault="009A618C" w:rsidP="00435B6A">
            <w:pPr>
              <w:spacing w:after="0" w:line="240" w:lineRule="auto"/>
              <w:jc w:val="center"/>
            </w:pPr>
            <w:r>
              <w:t>-19</w:t>
            </w:r>
          </w:p>
        </w:tc>
      </w:tr>
      <w:tr w:rsidR="009A618C" w:rsidRPr="002A7DB4" w14:paraId="7F4999AA" w14:textId="77777777" w:rsidTr="00435B6A">
        <w:trPr>
          <w:trHeight w:val="300"/>
        </w:trPr>
        <w:tc>
          <w:tcPr>
            <w:tcW w:w="1815" w:type="dxa"/>
            <w:shd w:val="clear" w:color="auto" w:fill="auto"/>
            <w:noWrap/>
          </w:tcPr>
          <w:p w14:paraId="1D61CD9B" w14:textId="77777777" w:rsidR="009A618C" w:rsidRPr="002A7DB4" w:rsidRDefault="009A618C" w:rsidP="00435B6A">
            <w:pPr>
              <w:spacing w:after="0" w:line="240" w:lineRule="auto"/>
              <w:jc w:val="both"/>
            </w:pPr>
            <w:r w:rsidRPr="002A7DB4">
              <w:t xml:space="preserve"> Route</w:t>
            </w:r>
          </w:p>
        </w:tc>
        <w:tc>
          <w:tcPr>
            <w:tcW w:w="1648" w:type="dxa"/>
            <w:vAlign w:val="center"/>
          </w:tcPr>
          <w:p w14:paraId="4C1963B6" w14:textId="6684C641" w:rsidR="009A618C" w:rsidRDefault="006D645E" w:rsidP="00435B6A">
            <w:pPr>
              <w:spacing w:after="0" w:line="240" w:lineRule="auto"/>
              <w:ind w:left="-13"/>
              <w:jc w:val="center"/>
            </w:pPr>
            <w:r>
              <w:t>4.283.933</w:t>
            </w:r>
          </w:p>
        </w:tc>
        <w:tc>
          <w:tcPr>
            <w:tcW w:w="1701" w:type="dxa"/>
            <w:vAlign w:val="center"/>
          </w:tcPr>
          <w:p w14:paraId="051323FF" w14:textId="77777777" w:rsidR="009A618C" w:rsidRDefault="009A618C" w:rsidP="00435B6A">
            <w:pPr>
              <w:spacing w:after="0" w:line="240" w:lineRule="auto"/>
              <w:jc w:val="center"/>
            </w:pPr>
            <w:r>
              <w:t>4.187.986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4A58B02C" w14:textId="0B57A1B9" w:rsidR="009A618C" w:rsidRPr="002A7DB4" w:rsidRDefault="006D645E" w:rsidP="00435B6A">
            <w:pPr>
              <w:spacing w:after="0" w:line="240" w:lineRule="auto"/>
              <w:jc w:val="center"/>
            </w:pPr>
            <w:r>
              <w:t>95.947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76B6D36" w14:textId="14A69FBB" w:rsidR="009A618C" w:rsidRPr="002A7DB4" w:rsidRDefault="006D645E" w:rsidP="006D645E">
            <w:pPr>
              <w:spacing w:after="0" w:line="240" w:lineRule="auto"/>
            </w:pPr>
            <w:r>
              <w:t xml:space="preserve">        +2 </w:t>
            </w:r>
          </w:p>
        </w:tc>
      </w:tr>
      <w:tr w:rsidR="009A618C" w:rsidRPr="002A7DB4" w14:paraId="2561B445" w14:textId="77777777" w:rsidTr="00435B6A">
        <w:trPr>
          <w:trHeight w:val="300"/>
        </w:trPr>
        <w:tc>
          <w:tcPr>
            <w:tcW w:w="1815" w:type="dxa"/>
            <w:shd w:val="clear" w:color="auto" w:fill="auto"/>
            <w:noWrap/>
          </w:tcPr>
          <w:p w14:paraId="459901EC" w14:textId="77777777" w:rsidR="009A618C" w:rsidRPr="002A7DB4" w:rsidRDefault="009A618C" w:rsidP="00435B6A">
            <w:pPr>
              <w:spacing w:after="0" w:line="240" w:lineRule="auto"/>
              <w:jc w:val="both"/>
            </w:pPr>
            <w:r w:rsidRPr="002A7DB4">
              <w:t xml:space="preserve"> Rail</w:t>
            </w:r>
          </w:p>
        </w:tc>
        <w:tc>
          <w:tcPr>
            <w:tcW w:w="1648" w:type="dxa"/>
            <w:vAlign w:val="center"/>
          </w:tcPr>
          <w:p w14:paraId="19EB9B9F" w14:textId="77777777" w:rsidR="009A618C" w:rsidRDefault="009A618C" w:rsidP="00435B6A">
            <w:pPr>
              <w:spacing w:after="0" w:line="240" w:lineRule="auto"/>
              <w:ind w:left="-13"/>
              <w:jc w:val="center"/>
            </w:pPr>
            <w:r>
              <w:t>219.786</w:t>
            </w:r>
          </w:p>
        </w:tc>
        <w:tc>
          <w:tcPr>
            <w:tcW w:w="1701" w:type="dxa"/>
            <w:vAlign w:val="center"/>
          </w:tcPr>
          <w:p w14:paraId="7EBDD0EA" w14:textId="77777777" w:rsidR="009A618C" w:rsidRDefault="009A618C" w:rsidP="00435B6A">
            <w:pPr>
              <w:spacing w:after="0" w:line="240" w:lineRule="auto"/>
              <w:jc w:val="center"/>
            </w:pPr>
            <w:r>
              <w:t>291.186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53049D03" w14:textId="77777777" w:rsidR="009A618C" w:rsidRPr="002A7DB4" w:rsidRDefault="009A618C" w:rsidP="00435B6A">
            <w:pPr>
              <w:spacing w:after="0" w:line="240" w:lineRule="auto"/>
              <w:jc w:val="center"/>
            </w:pPr>
            <w:r>
              <w:t>-71.400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3086D9A" w14:textId="77777777" w:rsidR="009A618C" w:rsidRPr="002A7DB4" w:rsidRDefault="009A618C" w:rsidP="00435B6A">
            <w:pPr>
              <w:spacing w:after="0" w:line="240" w:lineRule="auto"/>
              <w:jc w:val="center"/>
            </w:pPr>
            <w:r>
              <w:t>-25</w:t>
            </w:r>
          </w:p>
        </w:tc>
      </w:tr>
      <w:tr w:rsidR="009A618C" w:rsidRPr="002A7DB4" w14:paraId="2949A572" w14:textId="77777777" w:rsidTr="00435B6A">
        <w:trPr>
          <w:trHeight w:val="300"/>
        </w:trPr>
        <w:tc>
          <w:tcPr>
            <w:tcW w:w="1815" w:type="dxa"/>
            <w:tcBorders>
              <w:top w:val="single" w:sz="12" w:space="0" w:color="000000"/>
            </w:tcBorders>
            <w:shd w:val="clear" w:color="auto" w:fill="auto"/>
            <w:noWrap/>
          </w:tcPr>
          <w:p w14:paraId="304D7057" w14:textId="77777777" w:rsidR="009A618C" w:rsidRPr="002A7DB4" w:rsidRDefault="009A618C" w:rsidP="00435B6A">
            <w:pPr>
              <w:spacing w:after="0" w:line="240" w:lineRule="auto"/>
              <w:jc w:val="both"/>
              <w:rPr>
                <w:b/>
              </w:rPr>
            </w:pPr>
            <w:r w:rsidRPr="002A7DB4">
              <w:rPr>
                <w:b/>
              </w:rPr>
              <w:t xml:space="preserve"> Total</w:t>
            </w:r>
          </w:p>
        </w:tc>
        <w:tc>
          <w:tcPr>
            <w:tcW w:w="1648" w:type="dxa"/>
            <w:tcBorders>
              <w:top w:val="single" w:sz="12" w:space="0" w:color="000000"/>
            </w:tcBorders>
            <w:vAlign w:val="center"/>
          </w:tcPr>
          <w:p w14:paraId="25DB9911" w14:textId="0A96AADE" w:rsidR="009A618C" w:rsidRDefault="00954534" w:rsidP="00435B6A">
            <w:pPr>
              <w:spacing w:after="0" w:line="240" w:lineRule="auto"/>
              <w:ind w:left="-13"/>
              <w:jc w:val="center"/>
              <w:rPr>
                <w:b/>
              </w:rPr>
            </w:pPr>
            <w:r>
              <w:rPr>
                <w:b/>
              </w:rPr>
              <w:t>16.259.</w:t>
            </w:r>
            <w:r w:rsidR="00EF607A">
              <w:rPr>
                <w:b/>
              </w:rPr>
              <w:t>502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748BE462" w14:textId="77777777" w:rsidR="009A618C" w:rsidRDefault="009A618C" w:rsidP="00435B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19.029.653</w:t>
            </w:r>
          </w:p>
        </w:tc>
        <w:tc>
          <w:tcPr>
            <w:tcW w:w="1546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35C5812F" w14:textId="56575F04" w:rsidR="009A618C" w:rsidRPr="002A7DB4" w:rsidRDefault="00954534" w:rsidP="00435B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-2.770.</w:t>
            </w:r>
            <w:r w:rsidR="00EF607A">
              <w:rPr>
                <w:b/>
              </w:rPr>
              <w:t>151</w:t>
            </w:r>
          </w:p>
        </w:tc>
        <w:tc>
          <w:tcPr>
            <w:tcW w:w="1154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74F9AC08" w14:textId="4F50E3B7" w:rsidR="009A618C" w:rsidRPr="002A7DB4" w:rsidRDefault="009A618C" w:rsidP="00435B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D645E">
              <w:rPr>
                <w:b/>
              </w:rPr>
              <w:t>14</w:t>
            </w:r>
            <w:r w:rsidR="00C85B3C">
              <w:rPr>
                <w:b/>
              </w:rPr>
              <w:t>,5%</w:t>
            </w:r>
          </w:p>
        </w:tc>
      </w:tr>
    </w:tbl>
    <w:p w14:paraId="4D1046C2" w14:textId="70E50A25" w:rsidR="00EF607A" w:rsidRDefault="009A618C" w:rsidP="009A618C">
      <w:pPr>
        <w:spacing w:after="0" w:line="240" w:lineRule="auto"/>
        <w:jc w:val="both"/>
        <w:rPr>
          <w:b/>
          <w:i/>
        </w:rPr>
      </w:pPr>
      <w:r w:rsidRPr="002A7DB4">
        <w:tab/>
      </w:r>
      <w:r w:rsidRPr="002A7DB4">
        <w:tab/>
      </w:r>
      <w:r w:rsidRPr="002A7DB4">
        <w:tab/>
      </w:r>
      <w:r w:rsidRPr="002A7DB4">
        <w:tab/>
      </w:r>
      <w:r w:rsidRPr="002A7DB4">
        <w:tab/>
      </w:r>
      <w:r w:rsidRPr="002A7DB4">
        <w:tab/>
      </w:r>
      <w:r w:rsidRPr="002A7DB4">
        <w:tab/>
      </w:r>
      <w:r w:rsidRPr="002A7DB4">
        <w:tab/>
      </w:r>
      <w:r w:rsidRPr="002A7DB4">
        <w:tab/>
        <w:t xml:space="preserve">                                 </w:t>
      </w:r>
      <w:r w:rsidRPr="002A7DB4">
        <w:rPr>
          <w:b/>
          <w:i/>
        </w:rPr>
        <w:t>En tonnes</w:t>
      </w:r>
    </w:p>
    <w:p w14:paraId="408B707B" w14:textId="77777777" w:rsidR="009A618C" w:rsidRDefault="009A618C" w:rsidP="009A618C">
      <w:pPr>
        <w:spacing w:after="0" w:line="240" w:lineRule="auto"/>
        <w:jc w:val="both"/>
      </w:pPr>
    </w:p>
    <w:p w14:paraId="5A4ED0A3" w14:textId="7F1DE5B3" w:rsidR="00C82975" w:rsidRPr="002D1856" w:rsidRDefault="00C82975" w:rsidP="00C82975">
      <w:pPr>
        <w:pStyle w:val="Chapitre"/>
        <w:spacing w:after="0" w:line="240" w:lineRule="auto"/>
        <w:rPr>
          <w:rFonts w:cs="Arial"/>
        </w:rPr>
      </w:pPr>
      <w:r>
        <w:rPr>
          <w:rFonts w:cs="Arial"/>
        </w:rPr>
        <w:t>3. Trafics au Port des Yachts</w:t>
      </w:r>
    </w:p>
    <w:p w14:paraId="1CA6EB49" w14:textId="77777777" w:rsidR="00C82975" w:rsidRPr="004E5A6C" w:rsidRDefault="00C82975" w:rsidP="00C82975">
      <w:pPr>
        <w:spacing w:after="0" w:line="240" w:lineRule="auto"/>
        <w:jc w:val="both"/>
        <w:rPr>
          <w:iCs/>
        </w:rPr>
      </w:pPr>
    </w:p>
    <w:p w14:paraId="094E6B59" w14:textId="2D88E7F4" w:rsidR="00C82975" w:rsidRPr="006B1E96" w:rsidRDefault="00C82975" w:rsidP="00C82975">
      <w:pPr>
        <w:spacing w:after="0"/>
        <w:jc w:val="both"/>
      </w:pPr>
      <w:r>
        <w:rPr>
          <w:bCs/>
        </w:rPr>
        <w:t>Le</w:t>
      </w:r>
      <w:r w:rsidRPr="00484550">
        <w:rPr>
          <w:bCs/>
        </w:rPr>
        <w:t xml:space="preserve"> nombre de yachts ayant fait escale au </w:t>
      </w:r>
      <w:r>
        <w:rPr>
          <w:bCs/>
        </w:rPr>
        <w:t>Port des Yachts de Liège</w:t>
      </w:r>
      <w:r w:rsidRPr="00484550">
        <w:rPr>
          <w:bCs/>
        </w:rPr>
        <w:t xml:space="preserve"> </w:t>
      </w:r>
      <w:r>
        <w:rPr>
          <w:bCs/>
        </w:rPr>
        <w:t>s’élève à 705</w:t>
      </w:r>
      <w:r w:rsidRPr="00484550">
        <w:rPr>
          <w:bCs/>
        </w:rPr>
        <w:t xml:space="preserve"> unités en </w:t>
      </w:r>
      <w:r>
        <w:rPr>
          <w:bCs/>
        </w:rPr>
        <w:t>2023 (contrairement à 718 unités</w:t>
      </w:r>
      <w:r w:rsidR="0022698E">
        <w:rPr>
          <w:bCs/>
        </w:rPr>
        <w:t xml:space="preserve"> en 2022</w:t>
      </w:r>
      <w:r>
        <w:rPr>
          <w:bCs/>
        </w:rPr>
        <w:t xml:space="preserve">). </w:t>
      </w:r>
      <w:r w:rsidRPr="006B1E96">
        <w:t>Le podium des nationalités est composé des Pays-Bas (400 unités, soit 57 %), de la Belgique (110 unités, soit 16 %) et de l’Allemagne (92 unités, soit 13%).</w:t>
      </w:r>
      <w:r w:rsidR="007E2DB6">
        <w:t xml:space="preserve"> </w:t>
      </w:r>
      <w:r w:rsidRPr="006B1E96">
        <w:t>Les 13 % restant sont composés de yachts australiens, danois, espagnols, américains, français, norvégiens, néozélandais, anglais, suédois, suisses, japonais, tchèques et Finlandais.</w:t>
      </w:r>
    </w:p>
    <w:p w14:paraId="31B9D609" w14:textId="77777777" w:rsidR="00B651D0" w:rsidRDefault="00B651D0" w:rsidP="009A618C">
      <w:pPr>
        <w:spacing w:after="0"/>
        <w:jc w:val="both"/>
        <w:rPr>
          <w:b/>
          <w:u w:val="single"/>
        </w:rPr>
      </w:pPr>
    </w:p>
    <w:p w14:paraId="006EDA32" w14:textId="45857828" w:rsidR="00C82975" w:rsidRPr="002D1856" w:rsidRDefault="00C82975" w:rsidP="00C82975">
      <w:pPr>
        <w:pStyle w:val="Chapitre"/>
        <w:spacing w:after="0" w:line="240" w:lineRule="auto"/>
        <w:rPr>
          <w:rFonts w:cs="Arial"/>
        </w:rPr>
      </w:pPr>
      <w:r>
        <w:rPr>
          <w:rFonts w:cs="Arial"/>
        </w:rPr>
        <w:t>4. Nouveaux développements</w:t>
      </w:r>
      <w:r w:rsidR="002F06E6">
        <w:rPr>
          <w:rFonts w:cs="Arial"/>
        </w:rPr>
        <w:t xml:space="preserve"> en 2023</w:t>
      </w:r>
    </w:p>
    <w:p w14:paraId="28738C7B" w14:textId="77777777" w:rsidR="002F06E6" w:rsidRDefault="002F06E6" w:rsidP="00C82975">
      <w:pPr>
        <w:spacing w:after="0" w:line="240" w:lineRule="auto"/>
        <w:jc w:val="both"/>
        <w:rPr>
          <w:rFonts w:eastAsia="Times New Roman" w:cs="Times New Roman"/>
          <w:b/>
          <w:bCs/>
          <w:iCs/>
          <w:lang w:eastAsia="fr-BE"/>
        </w:rPr>
      </w:pPr>
    </w:p>
    <w:p w14:paraId="3D84F37E" w14:textId="6F823592" w:rsidR="002F06E6" w:rsidRPr="00B651D0" w:rsidRDefault="00C82975" w:rsidP="002F06E6">
      <w:pPr>
        <w:spacing w:after="0" w:line="240" w:lineRule="auto"/>
        <w:jc w:val="both"/>
        <w:rPr>
          <w:rFonts w:eastAsia="Times New Roman" w:cs="Times New Roman"/>
          <w:iCs/>
          <w:lang w:eastAsia="fr-BE"/>
        </w:rPr>
      </w:pPr>
      <w:r w:rsidRPr="002F06E6">
        <w:rPr>
          <w:rFonts w:eastAsia="Times New Roman" w:cs="Times New Roman"/>
          <w:iCs/>
          <w:lang w:eastAsia="fr-BE"/>
        </w:rPr>
        <w:t>A Liège Trilogiport</w:t>
      </w:r>
      <w:r w:rsidR="002F06E6" w:rsidRPr="002F06E6">
        <w:rPr>
          <w:rFonts w:eastAsia="Times New Roman" w:cs="Times New Roman"/>
          <w:iCs/>
          <w:lang w:eastAsia="fr-BE"/>
        </w:rPr>
        <w:t>, la plate-forme a poursuivi son développement. Près de 240</w:t>
      </w:r>
      <w:r w:rsidRPr="002F06E6">
        <w:rPr>
          <w:rFonts w:eastAsia="Times New Roman" w:cs="Times New Roman"/>
          <w:iCs/>
          <w:lang w:eastAsia="fr-BE"/>
        </w:rPr>
        <w:t xml:space="preserve">.600 m² de halls logistiques </w:t>
      </w:r>
      <w:r w:rsidR="002F06E6" w:rsidRPr="002F06E6">
        <w:rPr>
          <w:rFonts w:eastAsia="Times New Roman" w:cs="Times New Roman"/>
          <w:iCs/>
          <w:lang w:eastAsia="fr-BE"/>
        </w:rPr>
        <w:t xml:space="preserve">sont </w:t>
      </w:r>
      <w:r w:rsidRPr="002F06E6">
        <w:rPr>
          <w:rFonts w:eastAsia="Times New Roman" w:cs="Times New Roman"/>
          <w:iCs/>
          <w:lang w:eastAsia="fr-BE"/>
        </w:rPr>
        <w:t xml:space="preserve">opérationnels, soit </w:t>
      </w:r>
      <w:r w:rsidR="002F06E6" w:rsidRPr="002F06E6">
        <w:rPr>
          <w:rFonts w:eastAsia="Times New Roman" w:cs="Times New Roman"/>
          <w:iCs/>
          <w:lang w:eastAsia="fr-BE"/>
        </w:rPr>
        <w:t xml:space="preserve">les ¾ </w:t>
      </w:r>
      <w:r w:rsidRPr="002F06E6">
        <w:rPr>
          <w:rFonts w:eastAsia="Times New Roman" w:cs="Times New Roman"/>
          <w:iCs/>
          <w:lang w:eastAsia="fr-BE"/>
        </w:rPr>
        <w:t>de la plate-forme.</w:t>
      </w:r>
      <w:r w:rsidR="00B651D0">
        <w:rPr>
          <w:rFonts w:eastAsia="Times New Roman" w:cs="Times New Roman"/>
          <w:iCs/>
          <w:lang w:eastAsia="fr-BE"/>
        </w:rPr>
        <w:t xml:space="preserve"> </w:t>
      </w:r>
      <w:r w:rsidR="002F06E6" w:rsidRPr="004061A5">
        <w:rPr>
          <w:rFonts w:eastAsia="Times New Roman" w:cs="Times New Roman"/>
          <w:lang w:eastAsia="fr-BE"/>
        </w:rPr>
        <w:t xml:space="preserve">En </w:t>
      </w:r>
      <w:r w:rsidR="002F06E6">
        <w:rPr>
          <w:rFonts w:eastAsia="Times New Roman" w:cs="Times New Roman"/>
          <w:lang w:eastAsia="fr-BE"/>
        </w:rPr>
        <w:t>2023</w:t>
      </w:r>
      <w:r w:rsidR="002F06E6" w:rsidRPr="004061A5">
        <w:rPr>
          <w:rFonts w:eastAsia="Times New Roman" w:cs="Times New Roman"/>
          <w:lang w:eastAsia="fr-BE"/>
        </w:rPr>
        <w:t>, on note le</w:t>
      </w:r>
      <w:r w:rsidR="002F06E6">
        <w:rPr>
          <w:rFonts w:eastAsia="Times New Roman" w:cs="Times New Roman"/>
          <w:lang w:eastAsia="fr-BE"/>
        </w:rPr>
        <w:t xml:space="preserve">s développements suivants : </w:t>
      </w:r>
    </w:p>
    <w:p w14:paraId="5EDA46DA" w14:textId="77777777" w:rsidR="002F06E6" w:rsidRPr="002F06E6" w:rsidRDefault="002F06E6" w:rsidP="00C82975">
      <w:pPr>
        <w:spacing w:after="0" w:line="240" w:lineRule="auto"/>
        <w:jc w:val="both"/>
        <w:rPr>
          <w:rFonts w:eastAsia="Times New Roman" w:cs="Times New Roman"/>
          <w:b/>
          <w:bCs/>
          <w:iCs/>
          <w:lang w:val="fr-FR" w:eastAsia="fr-BE"/>
        </w:rPr>
      </w:pPr>
    </w:p>
    <w:p w14:paraId="17BA570B" w14:textId="54A8EE82" w:rsidR="002F06E6" w:rsidRPr="002F06E6" w:rsidRDefault="002F06E6" w:rsidP="00C82975">
      <w:pPr>
        <w:spacing w:after="0" w:line="240" w:lineRule="auto"/>
        <w:jc w:val="both"/>
        <w:rPr>
          <w:rFonts w:eastAsia="Times New Roman" w:cs="Times New Roman"/>
          <w:b/>
          <w:bCs/>
          <w:iCs/>
          <w:u w:val="single"/>
          <w:lang w:eastAsia="fr-BE"/>
        </w:rPr>
      </w:pPr>
      <w:r w:rsidRPr="002F06E6">
        <w:rPr>
          <w:rFonts w:eastAsia="Times New Roman" w:cs="Times New Roman"/>
          <w:b/>
          <w:bCs/>
          <w:iCs/>
          <w:u w:val="single"/>
          <w:lang w:eastAsia="fr-BE"/>
        </w:rPr>
        <w:t>Extension du terminal à conteneurs</w:t>
      </w:r>
      <w:r>
        <w:rPr>
          <w:rFonts w:eastAsia="Times New Roman" w:cs="Times New Roman"/>
          <w:b/>
          <w:bCs/>
          <w:iCs/>
          <w:u w:val="single"/>
          <w:lang w:eastAsia="fr-BE"/>
        </w:rPr>
        <w:t xml:space="preserve"> en 2023 </w:t>
      </w:r>
    </w:p>
    <w:p w14:paraId="2A449EA3" w14:textId="77777777" w:rsidR="002F06E6" w:rsidRDefault="002F06E6" w:rsidP="00C82975">
      <w:pPr>
        <w:spacing w:after="0" w:line="240" w:lineRule="auto"/>
        <w:jc w:val="both"/>
        <w:rPr>
          <w:rFonts w:eastAsia="Times New Roman" w:cs="Times New Roman"/>
          <w:b/>
          <w:bCs/>
          <w:iCs/>
          <w:lang w:eastAsia="fr-BE"/>
        </w:rPr>
      </w:pPr>
    </w:p>
    <w:p w14:paraId="72D74B36" w14:textId="2FE9EC86" w:rsidR="002F06E6" w:rsidRDefault="002F06E6" w:rsidP="002F06E6">
      <w:pPr>
        <w:numPr>
          <w:ilvl w:val="0"/>
          <w:numId w:val="27"/>
        </w:numPr>
        <w:spacing w:after="200" w:line="240" w:lineRule="auto"/>
        <w:jc w:val="both"/>
        <w:rPr>
          <w:rFonts w:cs="Calibri"/>
        </w:rPr>
      </w:pPr>
      <w:r>
        <w:rPr>
          <w:rFonts w:cs="Calibri"/>
          <w:b/>
          <w:bCs/>
          <w:color w:val="000000"/>
        </w:rPr>
        <w:t xml:space="preserve">Le </w:t>
      </w:r>
      <w:r w:rsidRPr="000F130A">
        <w:rPr>
          <w:rFonts w:cs="Calibri"/>
          <w:b/>
          <w:bCs/>
          <w:color w:val="000000"/>
        </w:rPr>
        <w:t xml:space="preserve">terminal à conteneurs </w:t>
      </w:r>
      <w:r w:rsidRPr="000F130A">
        <w:rPr>
          <w:rFonts w:cs="Calibri"/>
          <w:b/>
          <w:bCs/>
        </w:rPr>
        <w:t>de Liège Trilogiport</w:t>
      </w:r>
      <w:r w:rsidRPr="00916F0A">
        <w:rPr>
          <w:rFonts w:cs="Calibri"/>
        </w:rPr>
        <w:t xml:space="preserve"> (d’une superficie </w:t>
      </w:r>
      <w:r>
        <w:rPr>
          <w:rFonts w:cs="Calibri"/>
        </w:rPr>
        <w:t xml:space="preserve">initiale </w:t>
      </w:r>
      <w:r w:rsidRPr="00916F0A">
        <w:rPr>
          <w:rFonts w:cs="Calibri"/>
        </w:rPr>
        <w:t>de 3,6 hectares) vient d’être doté de 5,5 hectares supplémentaires ainsi que d’une aire de stationnement</w:t>
      </w:r>
      <w:r>
        <w:rPr>
          <w:rFonts w:cs="Calibri"/>
        </w:rPr>
        <w:t xml:space="preserve"> </w:t>
      </w:r>
      <w:r w:rsidRPr="00916F0A">
        <w:rPr>
          <w:rFonts w:cs="Calibri"/>
        </w:rPr>
        <w:t>pour</w:t>
      </w:r>
      <w:r>
        <w:rPr>
          <w:rFonts w:cs="Calibri"/>
        </w:rPr>
        <w:t xml:space="preserve"> </w:t>
      </w:r>
      <w:r w:rsidRPr="00916F0A">
        <w:rPr>
          <w:rFonts w:cs="Calibri"/>
        </w:rPr>
        <w:t>poids-lourds</w:t>
      </w:r>
      <w:r>
        <w:rPr>
          <w:rFonts w:cs="Calibri"/>
        </w:rPr>
        <w:t xml:space="preserve"> située à l’entrée du terminal</w:t>
      </w:r>
      <w:r w:rsidRPr="00916F0A">
        <w:rPr>
          <w:rFonts w:cs="Calibri"/>
        </w:rPr>
        <w:t xml:space="preserve">. </w:t>
      </w:r>
      <w:r>
        <w:rPr>
          <w:rFonts w:cs="Calibri"/>
        </w:rPr>
        <w:t xml:space="preserve">Cette extension </w:t>
      </w:r>
      <w:r w:rsidRPr="00916F0A">
        <w:rPr>
          <w:rFonts w:cs="Calibri"/>
        </w:rPr>
        <w:t xml:space="preserve">représente un investissement de plus de </w:t>
      </w:r>
      <w:r w:rsidRPr="008D3F8E">
        <w:rPr>
          <w:rFonts w:cs="Calibri"/>
          <w:b/>
          <w:bCs/>
        </w:rPr>
        <w:t>9,2 millions d’euros</w:t>
      </w:r>
      <w:r>
        <w:rPr>
          <w:rFonts w:cs="Calibri"/>
        </w:rPr>
        <w:t xml:space="preserve"> et </w:t>
      </w:r>
      <w:r w:rsidR="00B72D51">
        <w:rPr>
          <w:rFonts w:cs="Calibri"/>
        </w:rPr>
        <w:t>est réalisée</w:t>
      </w:r>
      <w:r w:rsidRPr="00916F0A">
        <w:rPr>
          <w:rFonts w:cs="Calibri"/>
        </w:rPr>
        <w:t xml:space="preserve"> grâce aux subventions octroyées au Port autonome de Liège dans le cadre du Plan de Relance :</w:t>
      </w:r>
    </w:p>
    <w:p w14:paraId="486D3EB1" w14:textId="77777777" w:rsidR="002F06E6" w:rsidRDefault="002F06E6" w:rsidP="002F06E6">
      <w:pPr>
        <w:numPr>
          <w:ilvl w:val="1"/>
          <w:numId w:val="27"/>
        </w:numPr>
        <w:spacing w:after="200" w:line="240" w:lineRule="auto"/>
        <w:jc w:val="both"/>
        <w:rPr>
          <w:rFonts w:cs="Calibri"/>
        </w:rPr>
      </w:pPr>
      <w:r w:rsidRPr="00916F0A">
        <w:rPr>
          <w:rFonts w:cs="Calibri"/>
        </w:rPr>
        <w:t xml:space="preserve">5.530.000 € du Plan National de </w:t>
      </w:r>
      <w:r>
        <w:rPr>
          <w:rFonts w:cs="Calibri"/>
        </w:rPr>
        <w:t>R</w:t>
      </w:r>
      <w:r w:rsidRPr="00916F0A">
        <w:rPr>
          <w:rFonts w:cs="Calibri"/>
        </w:rPr>
        <w:t xml:space="preserve">elance et de </w:t>
      </w:r>
      <w:r>
        <w:rPr>
          <w:rFonts w:cs="Calibri"/>
        </w:rPr>
        <w:t>R</w:t>
      </w:r>
      <w:r w:rsidRPr="00916F0A">
        <w:rPr>
          <w:rFonts w:cs="Calibri"/>
        </w:rPr>
        <w:t xml:space="preserve">ésilience (part européenne) </w:t>
      </w:r>
    </w:p>
    <w:p w14:paraId="220AF1AE" w14:textId="77777777" w:rsidR="002F06E6" w:rsidRPr="003B1CA2" w:rsidRDefault="002F06E6" w:rsidP="002F06E6">
      <w:pPr>
        <w:numPr>
          <w:ilvl w:val="1"/>
          <w:numId w:val="27"/>
        </w:numPr>
        <w:spacing w:after="200" w:line="240" w:lineRule="auto"/>
        <w:jc w:val="both"/>
        <w:rPr>
          <w:rFonts w:cs="Calibri"/>
        </w:rPr>
      </w:pPr>
      <w:r w:rsidRPr="003B1CA2">
        <w:rPr>
          <w:rFonts w:cs="Calibri"/>
        </w:rPr>
        <w:t xml:space="preserve">3.700.000 € du Plan de Relance de la Wallonie (part wallonne). </w:t>
      </w:r>
    </w:p>
    <w:p w14:paraId="767FA300" w14:textId="206DDD63" w:rsidR="007E2DB6" w:rsidRDefault="002F06E6" w:rsidP="007E2DB6">
      <w:pPr>
        <w:spacing w:line="240" w:lineRule="auto"/>
        <w:ind w:left="708"/>
        <w:jc w:val="both"/>
        <w:rPr>
          <w:rFonts w:cs="Calibri"/>
        </w:rPr>
      </w:pPr>
      <w:r>
        <w:rPr>
          <w:rFonts w:cs="Calibri"/>
        </w:rPr>
        <w:t xml:space="preserve">Cela vient renforcer l’attractivité du Port de Liège et sa compétitivité tout en s’inscrivant </w:t>
      </w:r>
      <w:r w:rsidRPr="00514C8D">
        <w:rPr>
          <w:rFonts w:cs="Calibri"/>
        </w:rPr>
        <w:t>dans un projet plus large de promotion du transport multimodal. L’objectif est de limiter la croissance du nombre de poids lourds entre le</w:t>
      </w:r>
      <w:r>
        <w:rPr>
          <w:rFonts w:cs="Calibri"/>
        </w:rPr>
        <w:t>s</w:t>
      </w:r>
      <w:r w:rsidRPr="00514C8D">
        <w:rPr>
          <w:rFonts w:cs="Calibri"/>
        </w:rPr>
        <w:t xml:space="preserve"> port</w:t>
      </w:r>
      <w:r>
        <w:rPr>
          <w:rFonts w:cs="Calibri"/>
        </w:rPr>
        <w:t>s</w:t>
      </w:r>
      <w:r w:rsidRPr="00514C8D">
        <w:rPr>
          <w:rFonts w:cs="Calibri"/>
        </w:rPr>
        <w:t xml:space="preserve"> d’Anvers-Bruges et Liège, et de permettre aux entreprises liégeoises et wallonnes de disposer, au départ de Liège Trilogiport, d’une véritable alternative à la route pour leurs marchandises.</w:t>
      </w:r>
    </w:p>
    <w:p w14:paraId="30CEECB2" w14:textId="122D37E7" w:rsidR="002F06E6" w:rsidRPr="002F06E6" w:rsidRDefault="002F06E6" w:rsidP="007E2DB6">
      <w:pPr>
        <w:spacing w:after="0" w:line="240" w:lineRule="auto"/>
        <w:jc w:val="both"/>
        <w:rPr>
          <w:rFonts w:cs="Calibri"/>
          <w:color w:val="000000"/>
        </w:rPr>
      </w:pPr>
      <w:r w:rsidRPr="00514C8D">
        <w:rPr>
          <w:rFonts w:cs="Calibri"/>
          <w:color w:val="000000"/>
        </w:rPr>
        <w:t xml:space="preserve">La réalisation de l’extension du terminal à conteneurs de Liège Trilogiport et le projet de rehaussement des ponts situés sur le </w:t>
      </w:r>
      <w:r>
        <w:rPr>
          <w:rFonts w:cs="Calibri"/>
          <w:color w:val="000000"/>
        </w:rPr>
        <w:t>c</w:t>
      </w:r>
      <w:r w:rsidRPr="00514C8D">
        <w:rPr>
          <w:rFonts w:cs="Calibri"/>
          <w:color w:val="000000"/>
        </w:rPr>
        <w:t>anal Albert (Hermalle-sous-Argenteau</w:t>
      </w:r>
      <w:r>
        <w:rPr>
          <w:rFonts w:cs="Calibri"/>
          <w:color w:val="000000"/>
        </w:rPr>
        <w:t>, Haccourt et Lixhe</w:t>
      </w:r>
      <w:r w:rsidRPr="00514C8D">
        <w:rPr>
          <w:rFonts w:cs="Calibri"/>
          <w:color w:val="000000"/>
        </w:rPr>
        <w:t xml:space="preserve">) s’inscrivent dans la politique wallonne et européenne de favorisation du report modal et de la réduction des gaz à effet de serre dans le secteur des transports. </w:t>
      </w:r>
    </w:p>
    <w:p w14:paraId="61FB3ADF" w14:textId="77777777" w:rsidR="00C82975" w:rsidRPr="004061A5" w:rsidRDefault="00C82975" w:rsidP="00C82975">
      <w:pPr>
        <w:spacing w:after="0" w:line="240" w:lineRule="auto"/>
        <w:contextualSpacing/>
        <w:jc w:val="both"/>
        <w:rPr>
          <w:rFonts w:eastAsia="Times New Roman" w:cs="Times New Roman"/>
          <w:lang w:eastAsia="fr-BE"/>
        </w:rPr>
      </w:pPr>
    </w:p>
    <w:p w14:paraId="7E0E7292" w14:textId="4D51D743" w:rsidR="00C82975" w:rsidRPr="008968D7" w:rsidRDefault="00C82975" w:rsidP="008968D7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b/>
          <w:bCs/>
          <w:i/>
          <w:lang w:val="en-US"/>
        </w:rPr>
      </w:pPr>
      <w:r w:rsidRPr="008968D7">
        <w:rPr>
          <w:b/>
          <w:bCs/>
          <w:i/>
          <w:lang w:val="en-US"/>
        </w:rPr>
        <w:t xml:space="preserve">D.L. Trilogiport Belgium </w:t>
      </w:r>
      <w:r w:rsidRPr="008968D7">
        <w:rPr>
          <w:iCs/>
          <w:lang w:val="en-US"/>
        </w:rPr>
        <w:t>(Jost Group)</w:t>
      </w:r>
    </w:p>
    <w:p w14:paraId="782694E1" w14:textId="68DF364F" w:rsidR="00C354CF" w:rsidRDefault="00C354CF" w:rsidP="00C354CF">
      <w:pPr>
        <w:spacing w:after="0" w:line="240" w:lineRule="auto"/>
        <w:jc w:val="both"/>
        <w:rPr>
          <w:iCs/>
        </w:rPr>
      </w:pPr>
      <w:r>
        <w:rPr>
          <w:iCs/>
        </w:rPr>
        <w:t xml:space="preserve">Le dernier hall logistique de DL Trilogiport Belgium (Jost Group) (76.000 m²) est actuellement en cours de finalisation et sera achevé au printemps 2024. </w:t>
      </w:r>
    </w:p>
    <w:p w14:paraId="0DB423A1" w14:textId="77777777" w:rsidR="00C354CF" w:rsidRPr="00CB2D1E" w:rsidRDefault="00C354CF" w:rsidP="00C354CF">
      <w:pPr>
        <w:spacing w:after="0" w:line="240" w:lineRule="auto"/>
        <w:jc w:val="both"/>
        <w:rPr>
          <w:b/>
          <w:bCs/>
          <w:i/>
        </w:rPr>
      </w:pPr>
    </w:p>
    <w:p w14:paraId="0D6B4062" w14:textId="12648540" w:rsidR="009A618C" w:rsidRPr="008968D7" w:rsidRDefault="009A618C" w:rsidP="008968D7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b/>
          <w:bCs/>
          <w:i/>
        </w:rPr>
      </w:pPr>
      <w:r w:rsidRPr="008968D7">
        <w:rPr>
          <w:b/>
          <w:bCs/>
          <w:i/>
        </w:rPr>
        <w:t>WDP</w:t>
      </w:r>
    </w:p>
    <w:p w14:paraId="7A77FB76" w14:textId="4722F106" w:rsidR="009A618C" w:rsidRDefault="009A618C" w:rsidP="002F06E6">
      <w:pPr>
        <w:spacing w:after="0" w:line="240" w:lineRule="auto"/>
        <w:rPr>
          <w:iCs/>
        </w:rPr>
      </w:pPr>
      <w:r>
        <w:rPr>
          <w:iCs/>
        </w:rPr>
        <w:t xml:space="preserve">La société WDP </w:t>
      </w:r>
      <w:r w:rsidR="00C354CF">
        <w:rPr>
          <w:iCs/>
        </w:rPr>
        <w:t xml:space="preserve">a </w:t>
      </w:r>
      <w:r w:rsidR="002F06E6">
        <w:rPr>
          <w:iCs/>
        </w:rPr>
        <w:t xml:space="preserve">finalisé </w:t>
      </w:r>
      <w:r w:rsidR="00C354CF">
        <w:rPr>
          <w:iCs/>
        </w:rPr>
        <w:t xml:space="preserve">en 2023 </w:t>
      </w:r>
      <w:r>
        <w:rPr>
          <w:iCs/>
        </w:rPr>
        <w:t>la construction d’un nouvel entrepôt de 29.000 m².</w:t>
      </w:r>
    </w:p>
    <w:p w14:paraId="67F6E616" w14:textId="77777777" w:rsidR="009A618C" w:rsidRDefault="009A618C" w:rsidP="009A618C">
      <w:pPr>
        <w:spacing w:after="0" w:line="240" w:lineRule="auto"/>
        <w:jc w:val="both"/>
        <w:rPr>
          <w:iCs/>
        </w:rPr>
      </w:pPr>
    </w:p>
    <w:p w14:paraId="33EE9386" w14:textId="77777777" w:rsidR="002C15C0" w:rsidRDefault="002C15C0" w:rsidP="009A618C">
      <w:pPr>
        <w:spacing w:after="0" w:line="240" w:lineRule="auto"/>
        <w:jc w:val="both"/>
        <w:rPr>
          <w:iCs/>
        </w:rPr>
      </w:pPr>
    </w:p>
    <w:p w14:paraId="11601519" w14:textId="77777777" w:rsidR="007E2DB6" w:rsidRDefault="007E2DB6" w:rsidP="002F06E6">
      <w:pPr>
        <w:pStyle w:val="Chapitre"/>
        <w:spacing w:after="0" w:line="240" w:lineRule="auto"/>
        <w:rPr>
          <w:rFonts w:cs="Arial"/>
        </w:rPr>
      </w:pPr>
    </w:p>
    <w:p w14:paraId="203E2385" w14:textId="77777777" w:rsidR="007E2DB6" w:rsidRDefault="007E2DB6" w:rsidP="002F06E6">
      <w:pPr>
        <w:pStyle w:val="Chapitre"/>
        <w:spacing w:after="0" w:line="240" w:lineRule="auto"/>
        <w:rPr>
          <w:rFonts w:cs="Arial"/>
        </w:rPr>
      </w:pPr>
    </w:p>
    <w:p w14:paraId="5CE5E9DB" w14:textId="2E16155C" w:rsidR="002F06E6" w:rsidRPr="002D1856" w:rsidRDefault="002F06E6" w:rsidP="002F06E6">
      <w:pPr>
        <w:pStyle w:val="Chapitre"/>
        <w:spacing w:after="0" w:line="240" w:lineRule="auto"/>
        <w:rPr>
          <w:rFonts w:cs="Arial"/>
        </w:rPr>
      </w:pPr>
      <w:r>
        <w:rPr>
          <w:rFonts w:cs="Arial"/>
        </w:rPr>
        <w:t>5. Budget des travaux – Clôture des travaux 2023</w:t>
      </w:r>
      <w:r w:rsidR="00D53023">
        <w:rPr>
          <w:rFonts w:cs="Arial"/>
        </w:rPr>
        <w:t xml:space="preserve"> </w:t>
      </w:r>
    </w:p>
    <w:p w14:paraId="7B496ED1" w14:textId="77777777" w:rsidR="002F06E6" w:rsidRDefault="002F06E6" w:rsidP="002F06E6">
      <w:pPr>
        <w:spacing w:after="0" w:line="240" w:lineRule="auto"/>
        <w:jc w:val="both"/>
        <w:rPr>
          <w:iCs/>
        </w:rPr>
      </w:pPr>
    </w:p>
    <w:p w14:paraId="1B4B7E49" w14:textId="77777777" w:rsidR="009A618C" w:rsidRPr="009B19F2" w:rsidRDefault="009A618C" w:rsidP="009A618C">
      <w:pPr>
        <w:rPr>
          <w:u w:val="single"/>
          <w:lang w:val="fr-FR"/>
        </w:rPr>
      </w:pPr>
      <w:r w:rsidRPr="009B19F2">
        <w:rPr>
          <w:u w:val="single"/>
          <w:lang w:val="fr-FR"/>
        </w:rPr>
        <w:t>Réalisations 2023</w:t>
      </w:r>
    </w:p>
    <w:p w14:paraId="3A386966" w14:textId="77777777" w:rsidR="009A618C" w:rsidRPr="009E7D3F" w:rsidRDefault="009A618C" w:rsidP="00D53023">
      <w:pPr>
        <w:spacing w:after="0" w:line="240" w:lineRule="auto"/>
        <w:jc w:val="both"/>
        <w:rPr>
          <w:lang w:val="fr-FR"/>
        </w:rPr>
      </w:pPr>
      <w:r w:rsidRPr="009E7D3F">
        <w:rPr>
          <w:lang w:val="fr-FR"/>
        </w:rPr>
        <w:t>Dans le cadre du plan quinquennal 2020-2024 :</w:t>
      </w:r>
    </w:p>
    <w:p w14:paraId="21302E58" w14:textId="77777777" w:rsidR="009A618C" w:rsidRDefault="009A618C" w:rsidP="009A618C">
      <w:pPr>
        <w:pStyle w:val="Paragraphedeliste"/>
        <w:numPr>
          <w:ilvl w:val="0"/>
          <w:numId w:val="24"/>
        </w:numPr>
        <w:spacing w:line="259" w:lineRule="auto"/>
        <w:jc w:val="both"/>
        <w:rPr>
          <w:lang w:val="fr-FR"/>
        </w:rPr>
      </w:pPr>
      <w:r>
        <w:rPr>
          <w:lang w:val="fr-FR"/>
        </w:rPr>
        <w:t>Les travaux d’a</w:t>
      </w:r>
      <w:r w:rsidRPr="00413EB8">
        <w:rPr>
          <w:lang w:val="fr-FR"/>
        </w:rPr>
        <w:t xml:space="preserve">ménagement des accès </w:t>
      </w:r>
      <w:r>
        <w:rPr>
          <w:lang w:val="fr-FR"/>
        </w:rPr>
        <w:t xml:space="preserve">routiers du port de Flémalle-Haute </w:t>
      </w:r>
      <w:r w:rsidRPr="00413EB8">
        <w:rPr>
          <w:lang w:val="fr-FR"/>
        </w:rPr>
        <w:t xml:space="preserve">ont été réceptionnés provisoirement le </w:t>
      </w:r>
      <w:r>
        <w:rPr>
          <w:lang w:val="fr-FR"/>
        </w:rPr>
        <w:t>7 juillet 2023 ;</w:t>
      </w:r>
    </w:p>
    <w:p w14:paraId="506EB9F6" w14:textId="77777777" w:rsidR="009A618C" w:rsidRPr="00413EB8" w:rsidRDefault="009A618C" w:rsidP="009A618C">
      <w:pPr>
        <w:pStyle w:val="Paragraphedeliste"/>
        <w:numPr>
          <w:ilvl w:val="0"/>
          <w:numId w:val="24"/>
        </w:numPr>
        <w:spacing w:line="259" w:lineRule="auto"/>
        <w:jc w:val="both"/>
        <w:rPr>
          <w:lang w:val="fr-FR"/>
        </w:rPr>
      </w:pPr>
      <w:r>
        <w:rPr>
          <w:lang w:val="fr-FR"/>
        </w:rPr>
        <w:t xml:space="preserve">Les travaux de réaménagement en zone bimodale (rail-route) du site de l’ancienne gare </w:t>
      </w:r>
      <w:r w:rsidRPr="00413EB8">
        <w:rPr>
          <w:lang w:val="fr-FR"/>
        </w:rPr>
        <w:t>de triage de Monsin ont été réceptionnés provisoirement en date du 27 novembre 2023 ;</w:t>
      </w:r>
    </w:p>
    <w:p w14:paraId="42E103F5" w14:textId="77777777" w:rsidR="009A618C" w:rsidRPr="009B19F2" w:rsidRDefault="009A618C" w:rsidP="009A618C">
      <w:pPr>
        <w:pStyle w:val="Paragraphedeliste"/>
        <w:numPr>
          <w:ilvl w:val="0"/>
          <w:numId w:val="24"/>
        </w:numPr>
        <w:spacing w:line="259" w:lineRule="auto"/>
        <w:jc w:val="both"/>
        <w:rPr>
          <w:lang w:val="fr-FR"/>
        </w:rPr>
      </w:pPr>
      <w:r>
        <w:rPr>
          <w:lang w:val="fr-FR"/>
        </w:rPr>
        <w:t>Les travaux de renouvellement de la voie ferrée n°2 située entre les ports de Renory et Ougrée, demandés par Infrabel, ont débuté le 9 octobre 2023 et sont toujours en cours de réalisation.</w:t>
      </w:r>
    </w:p>
    <w:p w14:paraId="4D61B5EE" w14:textId="1B3476A6" w:rsidR="009A618C" w:rsidRDefault="009A618C" w:rsidP="009A618C">
      <w:pPr>
        <w:jc w:val="both"/>
        <w:rPr>
          <w:lang w:val="fr-FR"/>
        </w:rPr>
      </w:pPr>
      <w:r w:rsidRPr="00CB67B8">
        <w:rPr>
          <w:lang w:val="fr-FR"/>
        </w:rPr>
        <w:t xml:space="preserve">Par </w:t>
      </w:r>
      <w:r w:rsidRPr="009E7D3F">
        <w:rPr>
          <w:lang w:val="fr-FR"/>
        </w:rPr>
        <w:t>ailleurs, dans le cadre du Plan de Relance,</w:t>
      </w:r>
      <w:r w:rsidRPr="00CB67B8">
        <w:rPr>
          <w:lang w:val="fr-FR"/>
        </w:rPr>
        <w:t xml:space="preserve"> les travaux d’extension de la dalle du terminal à conteneurs de Liège Trilogiport ont été réceptionnés provisoirement en date du 15 septembre 2023</w:t>
      </w:r>
      <w:r w:rsidR="009E7D3F">
        <w:rPr>
          <w:lang w:val="fr-FR"/>
        </w:rPr>
        <w:t xml:space="preserve"> (voir infra).</w:t>
      </w:r>
    </w:p>
    <w:p w14:paraId="6F775EA8" w14:textId="77777777" w:rsidR="002C15C0" w:rsidRDefault="002C15C0" w:rsidP="003D095D">
      <w:pPr>
        <w:pStyle w:val="Chapitre"/>
        <w:spacing w:after="0" w:line="240" w:lineRule="auto"/>
        <w:rPr>
          <w:rFonts w:cs="Arial"/>
        </w:rPr>
      </w:pPr>
    </w:p>
    <w:p w14:paraId="554ED083" w14:textId="629E56DE" w:rsidR="003D095D" w:rsidRPr="002D1856" w:rsidRDefault="00784204" w:rsidP="003D095D">
      <w:pPr>
        <w:pStyle w:val="Chapitre"/>
        <w:spacing w:after="0" w:line="240" w:lineRule="auto"/>
        <w:rPr>
          <w:rFonts w:cs="Arial"/>
        </w:rPr>
      </w:pPr>
      <w:r>
        <w:rPr>
          <w:rFonts w:cs="Arial"/>
        </w:rPr>
        <w:t>6</w:t>
      </w:r>
      <w:r w:rsidR="003D095D">
        <w:rPr>
          <w:rFonts w:cs="Arial"/>
        </w:rPr>
        <w:t>. Futurs développements à Chertal</w:t>
      </w:r>
    </w:p>
    <w:p w14:paraId="055D32CD" w14:textId="77777777" w:rsidR="006B1E96" w:rsidRDefault="006B1E96" w:rsidP="003D095D">
      <w:pPr>
        <w:pStyle w:val="Body"/>
        <w:spacing w:after="0"/>
        <w:rPr>
          <w:sz w:val="22"/>
          <w:szCs w:val="22"/>
        </w:rPr>
      </w:pPr>
    </w:p>
    <w:p w14:paraId="3ECA7AA5" w14:textId="3735B7C7" w:rsidR="003D095D" w:rsidRDefault="006B1E96" w:rsidP="003D095D">
      <w:pPr>
        <w:pStyle w:val="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La plate-forme Liège Trilogiport est dorénavant prête pour tous </w:t>
      </w:r>
      <w:r w:rsidR="00E0273A">
        <w:rPr>
          <w:sz w:val="22"/>
          <w:szCs w:val="22"/>
        </w:rPr>
        <w:t>les futurs développements de la zone de C</w:t>
      </w:r>
      <w:r w:rsidR="00CB2D1E">
        <w:rPr>
          <w:sz w:val="22"/>
          <w:szCs w:val="22"/>
        </w:rPr>
        <w:t>h</w:t>
      </w:r>
      <w:r w:rsidR="00E0273A">
        <w:rPr>
          <w:sz w:val="22"/>
          <w:szCs w:val="22"/>
        </w:rPr>
        <w:t xml:space="preserve">ertal. </w:t>
      </w:r>
      <w:r w:rsidR="00CB2D1E">
        <w:rPr>
          <w:sz w:val="22"/>
          <w:szCs w:val="22"/>
        </w:rPr>
        <w:br/>
      </w:r>
      <w:r w:rsidR="003D095D" w:rsidRPr="00A644D6">
        <w:rPr>
          <w:sz w:val="22"/>
          <w:szCs w:val="22"/>
        </w:rPr>
        <w:t>Le Port autonome de Liège réitère sa volonté de participer à un projet qui permettra de valoriser le site de Chertal en y développant une zone d’activité économique multimodale en lien avec la voie d’eau</w:t>
      </w:r>
      <w:r w:rsidR="003D095D">
        <w:rPr>
          <w:sz w:val="22"/>
          <w:szCs w:val="22"/>
        </w:rPr>
        <w:t xml:space="preserve"> et en lien avec le terminal à conteneurs de Liège Trilogiport</w:t>
      </w:r>
      <w:r w:rsidR="003D095D" w:rsidRPr="00A644D6">
        <w:rPr>
          <w:sz w:val="22"/>
          <w:szCs w:val="22"/>
        </w:rPr>
        <w:t>.</w:t>
      </w:r>
      <w:r w:rsidR="003D095D">
        <w:rPr>
          <w:sz w:val="22"/>
          <w:szCs w:val="22"/>
        </w:rPr>
        <w:t xml:space="preserve"> </w:t>
      </w:r>
      <w:r w:rsidR="003D095D" w:rsidRPr="00A644D6">
        <w:rPr>
          <w:sz w:val="22"/>
          <w:szCs w:val="22"/>
        </w:rPr>
        <w:t xml:space="preserve">Un site comme Chertal, </w:t>
      </w:r>
      <w:r w:rsidR="00572725">
        <w:rPr>
          <w:sz w:val="22"/>
          <w:szCs w:val="22"/>
        </w:rPr>
        <w:t>grâce à</w:t>
      </w:r>
      <w:r w:rsidR="003D095D" w:rsidRPr="00A644D6">
        <w:rPr>
          <w:sz w:val="22"/>
          <w:szCs w:val="22"/>
        </w:rPr>
        <w:t xml:space="preserve"> ses caractéristiques et atouts, doit être affecté en partie au moins à des activités en relation avec la voie d’eau et le rail, ceci afin de répondre à la politique </w:t>
      </w:r>
      <w:r w:rsidR="00572725">
        <w:rPr>
          <w:sz w:val="22"/>
          <w:szCs w:val="22"/>
        </w:rPr>
        <w:t xml:space="preserve">de mobilité et de réduction des émissions de CO² </w:t>
      </w:r>
      <w:r w:rsidR="003D095D" w:rsidRPr="00A644D6">
        <w:rPr>
          <w:sz w:val="22"/>
          <w:szCs w:val="22"/>
        </w:rPr>
        <w:t>mise en place par l’Europe</w:t>
      </w:r>
      <w:r w:rsidR="00EF1F88">
        <w:rPr>
          <w:sz w:val="22"/>
          <w:szCs w:val="22"/>
        </w:rPr>
        <w:t xml:space="preserve"> et la Wallonie</w:t>
      </w:r>
      <w:r w:rsidR="003D095D" w:rsidRPr="00A644D6">
        <w:rPr>
          <w:sz w:val="22"/>
          <w:szCs w:val="22"/>
        </w:rPr>
        <w:t>.</w:t>
      </w:r>
    </w:p>
    <w:p w14:paraId="4B5C3EB5" w14:textId="77777777" w:rsidR="006B1E96" w:rsidRDefault="006B1E96" w:rsidP="003D095D">
      <w:pPr>
        <w:pStyle w:val="Body"/>
        <w:spacing w:after="0"/>
        <w:rPr>
          <w:sz w:val="22"/>
          <w:szCs w:val="22"/>
        </w:rPr>
      </w:pPr>
    </w:p>
    <w:p w14:paraId="70DA4481" w14:textId="77777777" w:rsidR="00F1431B" w:rsidRDefault="00F1431B" w:rsidP="003D095D">
      <w:pPr>
        <w:pStyle w:val="Body"/>
        <w:spacing w:after="0"/>
        <w:rPr>
          <w:sz w:val="22"/>
          <w:szCs w:val="22"/>
        </w:rPr>
      </w:pPr>
    </w:p>
    <w:p w14:paraId="06AE3801" w14:textId="77777777" w:rsidR="006B341B" w:rsidRPr="00CE5762" w:rsidRDefault="006B341B" w:rsidP="00213A30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/>
          <w:sz w:val="18"/>
          <w:szCs w:val="18"/>
          <w:lang w:val="fr-FR" w:eastAsia="fr-FR"/>
        </w:rPr>
      </w:pPr>
      <w:r w:rsidRPr="00CE5762">
        <w:rPr>
          <w:rFonts w:eastAsia="Times New Roman" w:cs="Arial"/>
          <w:b/>
          <w:sz w:val="18"/>
          <w:szCs w:val="18"/>
          <w:lang w:val="fr-FR" w:eastAsia="fr-FR"/>
        </w:rPr>
        <w:t>Contact presse</w:t>
      </w:r>
    </w:p>
    <w:p w14:paraId="62B03AD0" w14:textId="77777777" w:rsidR="0014600F" w:rsidRDefault="006B341B" w:rsidP="00213A30">
      <w:pPr>
        <w:spacing w:after="0" w:line="240" w:lineRule="auto"/>
        <w:rPr>
          <w:rFonts w:eastAsia="Times New Roman" w:cs="Arial"/>
          <w:sz w:val="18"/>
          <w:szCs w:val="18"/>
          <w:lang w:val="fr-FR" w:eastAsia="fr-FR"/>
        </w:rPr>
      </w:pPr>
      <w:r w:rsidRPr="00CE5762">
        <w:rPr>
          <w:rFonts w:eastAsia="Times New Roman" w:cs="Arial"/>
          <w:sz w:val="18"/>
          <w:szCs w:val="18"/>
          <w:lang w:val="fr-FR" w:eastAsia="fr-FR"/>
        </w:rPr>
        <w:t>Hélène Thiébaut, Attachée – Communication</w:t>
      </w:r>
      <w:r w:rsidR="0014600F">
        <w:rPr>
          <w:rFonts w:eastAsia="Times New Roman" w:cs="Arial"/>
          <w:sz w:val="18"/>
          <w:szCs w:val="18"/>
          <w:lang w:val="fr-FR" w:eastAsia="fr-FR"/>
        </w:rPr>
        <w:t xml:space="preserve"> - </w:t>
      </w:r>
      <w:r w:rsidRPr="00CE5762">
        <w:rPr>
          <w:rFonts w:eastAsia="Times New Roman" w:cs="Arial"/>
          <w:sz w:val="18"/>
          <w:szCs w:val="18"/>
          <w:lang w:val="fr-FR" w:eastAsia="fr-FR"/>
        </w:rPr>
        <w:t>Port autonome de Liège</w:t>
      </w:r>
    </w:p>
    <w:p w14:paraId="64A73895" w14:textId="1EF19BDD" w:rsidR="006B341B" w:rsidRPr="004A71AA" w:rsidRDefault="004A71AA" w:rsidP="00213A30">
      <w:pPr>
        <w:spacing w:after="0" w:line="240" w:lineRule="auto"/>
        <w:rPr>
          <w:rFonts w:eastAsia="Times New Roman" w:cs="Arial"/>
          <w:sz w:val="18"/>
          <w:szCs w:val="18"/>
          <w:lang w:val="nl-BE" w:eastAsia="fr-FR"/>
        </w:rPr>
      </w:pPr>
      <w:r w:rsidRPr="004A71AA">
        <w:rPr>
          <w:rFonts w:eastAsia="Times New Roman" w:cs="Arial"/>
          <w:sz w:val="18"/>
          <w:szCs w:val="18"/>
          <w:lang w:val="nl-BE" w:eastAsia="fr-FR"/>
        </w:rPr>
        <w:t>Te</w:t>
      </w:r>
      <w:r>
        <w:rPr>
          <w:rFonts w:eastAsia="Times New Roman" w:cs="Arial"/>
          <w:sz w:val="18"/>
          <w:szCs w:val="18"/>
          <w:lang w:val="nl-BE" w:eastAsia="fr-FR"/>
        </w:rPr>
        <w:t>l</w:t>
      </w:r>
      <w:r w:rsidR="006B341B" w:rsidRPr="004A71AA">
        <w:rPr>
          <w:rFonts w:eastAsia="Times New Roman" w:cs="Arial"/>
          <w:sz w:val="18"/>
          <w:szCs w:val="18"/>
          <w:lang w:val="nl-BE" w:eastAsia="fr-FR"/>
        </w:rPr>
        <w:t>: + 32 475 59 63 06</w:t>
      </w:r>
      <w:r w:rsidR="00ED2140" w:rsidRPr="004A71AA">
        <w:rPr>
          <w:rFonts w:eastAsia="Times New Roman" w:cs="Arial"/>
          <w:sz w:val="18"/>
          <w:szCs w:val="18"/>
          <w:lang w:val="nl-BE" w:eastAsia="fr-FR"/>
        </w:rPr>
        <w:t xml:space="preserve"> – 04 232 97 85</w:t>
      </w:r>
      <w:r w:rsidR="004A1D4E" w:rsidRPr="004A71AA">
        <w:rPr>
          <w:rFonts w:eastAsia="Times New Roman" w:cs="Arial"/>
          <w:sz w:val="18"/>
          <w:szCs w:val="18"/>
          <w:lang w:val="nl-BE" w:eastAsia="fr-FR"/>
        </w:rPr>
        <w:t xml:space="preserve"> </w:t>
      </w:r>
      <w:hyperlink r:id="rId8" w:history="1">
        <w:r w:rsidR="004A1D4E" w:rsidRPr="004A71AA">
          <w:rPr>
            <w:rStyle w:val="Lienhypertexte"/>
            <w:rFonts w:eastAsia="Times New Roman"/>
            <w:sz w:val="18"/>
            <w:szCs w:val="18"/>
            <w:lang w:val="nl-BE" w:eastAsia="fr-FR"/>
          </w:rPr>
          <w:t>h.thiebaut@portdeliege.be</w:t>
        </w:r>
      </w:hyperlink>
      <w:r w:rsidR="004A1D4E" w:rsidRPr="004A71AA">
        <w:rPr>
          <w:rFonts w:eastAsia="Times New Roman" w:cs="Arial"/>
          <w:sz w:val="18"/>
          <w:szCs w:val="18"/>
          <w:lang w:val="nl-BE" w:eastAsia="fr-FR"/>
        </w:rPr>
        <w:t xml:space="preserve">  </w:t>
      </w:r>
      <w:r w:rsidR="006B341B" w:rsidRPr="004A71AA">
        <w:rPr>
          <w:rFonts w:eastAsia="Times New Roman" w:cs="Arial"/>
          <w:sz w:val="18"/>
          <w:szCs w:val="18"/>
          <w:lang w:val="nl-BE" w:eastAsia="fr-FR"/>
        </w:rPr>
        <w:t>www.portdeliege.be</w:t>
      </w:r>
    </w:p>
    <w:sectPr w:rsidR="006B341B" w:rsidRPr="004A71AA" w:rsidSect="006B7E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1E2E" w14:textId="77777777" w:rsidR="00025B38" w:rsidRDefault="00025B38" w:rsidP="00FE0414">
      <w:pPr>
        <w:spacing w:after="0" w:line="240" w:lineRule="auto"/>
      </w:pPr>
      <w:r>
        <w:separator/>
      </w:r>
    </w:p>
  </w:endnote>
  <w:endnote w:type="continuationSeparator" w:id="0">
    <w:p w14:paraId="27FB0A84" w14:textId="77777777" w:rsidR="00025B38" w:rsidRDefault="00025B38" w:rsidP="00FE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327806"/>
      <w:docPartObj>
        <w:docPartGallery w:val="Page Numbers (Bottom of Page)"/>
        <w:docPartUnique/>
      </w:docPartObj>
    </w:sdtPr>
    <w:sdtEndPr/>
    <w:sdtContent>
      <w:p w14:paraId="350017EF" w14:textId="77777777" w:rsidR="005827A0" w:rsidRDefault="005827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C1" w:rsidRPr="001767C1">
          <w:rPr>
            <w:noProof/>
            <w:lang w:val="fr-FR"/>
          </w:rPr>
          <w:t>4</w:t>
        </w:r>
        <w:r>
          <w:fldChar w:fldCharType="end"/>
        </w:r>
      </w:p>
    </w:sdtContent>
  </w:sdt>
  <w:p w14:paraId="5FA30224" w14:textId="77777777" w:rsidR="00FE0414" w:rsidRDefault="00FE04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229F" w14:textId="77777777" w:rsidR="00025B38" w:rsidRDefault="00025B38" w:rsidP="00FE0414">
      <w:pPr>
        <w:spacing w:after="0" w:line="240" w:lineRule="auto"/>
      </w:pPr>
      <w:r>
        <w:separator/>
      </w:r>
    </w:p>
  </w:footnote>
  <w:footnote w:type="continuationSeparator" w:id="0">
    <w:p w14:paraId="1BDFA89A" w14:textId="77777777" w:rsidR="00025B38" w:rsidRDefault="00025B38" w:rsidP="00FE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91"/>
    <w:multiLevelType w:val="hybridMultilevel"/>
    <w:tmpl w:val="92FA0D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C9A"/>
    <w:multiLevelType w:val="hybridMultilevel"/>
    <w:tmpl w:val="9F760BA6"/>
    <w:lvl w:ilvl="0" w:tplc="1B76F3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BC1AD3"/>
    <w:multiLevelType w:val="hybridMultilevel"/>
    <w:tmpl w:val="DEEECE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492"/>
    <w:multiLevelType w:val="hybridMultilevel"/>
    <w:tmpl w:val="816A4220"/>
    <w:lvl w:ilvl="0" w:tplc="01D48C14">
      <w:start w:val="7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574A"/>
    <w:multiLevelType w:val="multilevel"/>
    <w:tmpl w:val="40461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1DFE438E"/>
    <w:multiLevelType w:val="hybridMultilevel"/>
    <w:tmpl w:val="D250C576"/>
    <w:lvl w:ilvl="0" w:tplc="2584B6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43DB"/>
    <w:multiLevelType w:val="hybridMultilevel"/>
    <w:tmpl w:val="CB0C21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02C"/>
    <w:multiLevelType w:val="multilevel"/>
    <w:tmpl w:val="5260A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1118B"/>
    <w:multiLevelType w:val="hybridMultilevel"/>
    <w:tmpl w:val="1CA41666"/>
    <w:lvl w:ilvl="0" w:tplc="AE904FA8">
      <w:start w:val="1"/>
      <w:numFmt w:val="decimal"/>
      <w:lvlText w:val="%1."/>
      <w:lvlJc w:val="left"/>
      <w:pPr>
        <w:ind w:left="4042" w:hanging="360"/>
      </w:pPr>
      <w:rPr>
        <w:rFonts w:hint="default"/>
        <w:b/>
        <w:bCs w:val="0"/>
      </w:rPr>
    </w:lvl>
    <w:lvl w:ilvl="1" w:tplc="080C0019" w:tentative="1">
      <w:start w:val="1"/>
      <w:numFmt w:val="lowerLetter"/>
      <w:lvlText w:val="%2."/>
      <w:lvlJc w:val="left"/>
      <w:pPr>
        <w:ind w:left="4762" w:hanging="360"/>
      </w:pPr>
    </w:lvl>
    <w:lvl w:ilvl="2" w:tplc="080C001B" w:tentative="1">
      <w:start w:val="1"/>
      <w:numFmt w:val="lowerRoman"/>
      <w:lvlText w:val="%3."/>
      <w:lvlJc w:val="right"/>
      <w:pPr>
        <w:ind w:left="5482" w:hanging="180"/>
      </w:pPr>
    </w:lvl>
    <w:lvl w:ilvl="3" w:tplc="080C000F" w:tentative="1">
      <w:start w:val="1"/>
      <w:numFmt w:val="decimal"/>
      <w:lvlText w:val="%4."/>
      <w:lvlJc w:val="left"/>
      <w:pPr>
        <w:ind w:left="6202" w:hanging="360"/>
      </w:pPr>
    </w:lvl>
    <w:lvl w:ilvl="4" w:tplc="080C0019" w:tentative="1">
      <w:start w:val="1"/>
      <w:numFmt w:val="lowerLetter"/>
      <w:lvlText w:val="%5."/>
      <w:lvlJc w:val="left"/>
      <w:pPr>
        <w:ind w:left="6922" w:hanging="360"/>
      </w:pPr>
    </w:lvl>
    <w:lvl w:ilvl="5" w:tplc="080C001B" w:tentative="1">
      <w:start w:val="1"/>
      <w:numFmt w:val="lowerRoman"/>
      <w:lvlText w:val="%6."/>
      <w:lvlJc w:val="right"/>
      <w:pPr>
        <w:ind w:left="7642" w:hanging="180"/>
      </w:pPr>
    </w:lvl>
    <w:lvl w:ilvl="6" w:tplc="080C000F" w:tentative="1">
      <w:start w:val="1"/>
      <w:numFmt w:val="decimal"/>
      <w:lvlText w:val="%7."/>
      <w:lvlJc w:val="left"/>
      <w:pPr>
        <w:ind w:left="8362" w:hanging="360"/>
      </w:pPr>
    </w:lvl>
    <w:lvl w:ilvl="7" w:tplc="080C0019" w:tentative="1">
      <w:start w:val="1"/>
      <w:numFmt w:val="lowerLetter"/>
      <w:lvlText w:val="%8."/>
      <w:lvlJc w:val="left"/>
      <w:pPr>
        <w:ind w:left="9082" w:hanging="360"/>
      </w:pPr>
    </w:lvl>
    <w:lvl w:ilvl="8" w:tplc="080C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9" w15:restartNumberingAfterBreak="0">
    <w:nsid w:val="234A7AB7"/>
    <w:multiLevelType w:val="hybridMultilevel"/>
    <w:tmpl w:val="A4AE3C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235E7"/>
    <w:multiLevelType w:val="hybridMultilevel"/>
    <w:tmpl w:val="DDA222B0"/>
    <w:lvl w:ilvl="0" w:tplc="6EDEA6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637C"/>
    <w:multiLevelType w:val="multilevel"/>
    <w:tmpl w:val="AFBA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F7006E"/>
    <w:multiLevelType w:val="multilevel"/>
    <w:tmpl w:val="56F21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016E8"/>
    <w:multiLevelType w:val="hybridMultilevel"/>
    <w:tmpl w:val="540CDBE2"/>
    <w:lvl w:ilvl="0" w:tplc="E4C87790">
      <w:start w:val="13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B70C7"/>
    <w:multiLevelType w:val="hybridMultilevel"/>
    <w:tmpl w:val="99AE2066"/>
    <w:lvl w:ilvl="0" w:tplc="44967F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55908"/>
    <w:multiLevelType w:val="hybridMultilevel"/>
    <w:tmpl w:val="90101EA8"/>
    <w:lvl w:ilvl="0" w:tplc="2FAC2B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A6D41"/>
    <w:multiLevelType w:val="hybridMultilevel"/>
    <w:tmpl w:val="DD769536"/>
    <w:lvl w:ilvl="0" w:tplc="18F26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37C"/>
    <w:multiLevelType w:val="hybridMultilevel"/>
    <w:tmpl w:val="CFB8523C"/>
    <w:lvl w:ilvl="0" w:tplc="3A2400C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5397"/>
    <w:multiLevelType w:val="hybridMultilevel"/>
    <w:tmpl w:val="866A16DC"/>
    <w:lvl w:ilvl="0" w:tplc="B36A8E3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037F1D"/>
    <w:multiLevelType w:val="multilevel"/>
    <w:tmpl w:val="8468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10699"/>
    <w:multiLevelType w:val="hybridMultilevel"/>
    <w:tmpl w:val="925684C2"/>
    <w:lvl w:ilvl="0" w:tplc="44967F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40FFD"/>
    <w:multiLevelType w:val="multilevel"/>
    <w:tmpl w:val="0A6E8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963639"/>
    <w:multiLevelType w:val="hybridMultilevel"/>
    <w:tmpl w:val="F2BE1E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43FBF"/>
    <w:multiLevelType w:val="hybridMultilevel"/>
    <w:tmpl w:val="8C3E8F6A"/>
    <w:lvl w:ilvl="0" w:tplc="44967F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D3673"/>
    <w:multiLevelType w:val="hybridMultilevel"/>
    <w:tmpl w:val="4E58F948"/>
    <w:lvl w:ilvl="0" w:tplc="3BE2CB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A3BD7"/>
    <w:multiLevelType w:val="hybridMultilevel"/>
    <w:tmpl w:val="D0969126"/>
    <w:lvl w:ilvl="0" w:tplc="6AA82DCA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159BD7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863D8"/>
    <w:multiLevelType w:val="hybridMultilevel"/>
    <w:tmpl w:val="493E35B2"/>
    <w:lvl w:ilvl="0" w:tplc="7F322E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80B62"/>
    <w:multiLevelType w:val="hybridMultilevel"/>
    <w:tmpl w:val="5C92D61E"/>
    <w:lvl w:ilvl="0" w:tplc="BD18D9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A4A34"/>
    <w:multiLevelType w:val="hybridMultilevel"/>
    <w:tmpl w:val="925AFB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B2B71"/>
    <w:multiLevelType w:val="hybridMultilevel"/>
    <w:tmpl w:val="82AA3040"/>
    <w:lvl w:ilvl="0" w:tplc="6AA82DCA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159BD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41842">
    <w:abstractNumId w:val="8"/>
  </w:num>
  <w:num w:numId="2" w16cid:durableId="1098909542">
    <w:abstractNumId w:val="11"/>
  </w:num>
  <w:num w:numId="3" w16cid:durableId="414713727">
    <w:abstractNumId w:val="15"/>
  </w:num>
  <w:num w:numId="4" w16cid:durableId="856314367">
    <w:abstractNumId w:val="16"/>
  </w:num>
  <w:num w:numId="5" w16cid:durableId="825899879">
    <w:abstractNumId w:val="29"/>
  </w:num>
  <w:num w:numId="6" w16cid:durableId="1591888678">
    <w:abstractNumId w:val="25"/>
  </w:num>
  <w:num w:numId="7" w16cid:durableId="2124107026">
    <w:abstractNumId w:val="27"/>
  </w:num>
  <w:num w:numId="8" w16cid:durableId="1034649089">
    <w:abstractNumId w:val="1"/>
  </w:num>
  <w:num w:numId="9" w16cid:durableId="1174681874">
    <w:abstractNumId w:val="18"/>
  </w:num>
  <w:num w:numId="10" w16cid:durableId="229772674">
    <w:abstractNumId w:val="12"/>
  </w:num>
  <w:num w:numId="11" w16cid:durableId="1963995492">
    <w:abstractNumId w:val="17"/>
  </w:num>
  <w:num w:numId="12" w16cid:durableId="249511908">
    <w:abstractNumId w:val="22"/>
  </w:num>
  <w:num w:numId="13" w16cid:durableId="1593392124">
    <w:abstractNumId w:val="2"/>
  </w:num>
  <w:num w:numId="14" w16cid:durableId="45498717">
    <w:abstractNumId w:val="6"/>
  </w:num>
  <w:num w:numId="15" w16cid:durableId="976953457">
    <w:abstractNumId w:val="28"/>
  </w:num>
  <w:num w:numId="16" w16cid:durableId="903756633">
    <w:abstractNumId w:val="7"/>
  </w:num>
  <w:num w:numId="17" w16cid:durableId="222570673">
    <w:abstractNumId w:val="4"/>
  </w:num>
  <w:num w:numId="18" w16cid:durableId="1184706267">
    <w:abstractNumId w:val="21"/>
  </w:num>
  <w:num w:numId="19" w16cid:durableId="581529201">
    <w:abstractNumId w:val="14"/>
  </w:num>
  <w:num w:numId="20" w16cid:durableId="690574653">
    <w:abstractNumId w:val="23"/>
  </w:num>
  <w:num w:numId="21" w16cid:durableId="1427380287">
    <w:abstractNumId w:val="20"/>
  </w:num>
  <w:num w:numId="22" w16cid:durableId="447821842">
    <w:abstractNumId w:val="10"/>
  </w:num>
  <w:num w:numId="23" w16cid:durableId="713120918">
    <w:abstractNumId w:val="24"/>
  </w:num>
  <w:num w:numId="24" w16cid:durableId="955671087">
    <w:abstractNumId w:val="3"/>
  </w:num>
  <w:num w:numId="25" w16cid:durableId="2057700977">
    <w:abstractNumId w:val="9"/>
  </w:num>
  <w:num w:numId="26" w16cid:durableId="1301761804">
    <w:abstractNumId w:val="0"/>
  </w:num>
  <w:num w:numId="27" w16cid:durableId="1905096913">
    <w:abstractNumId w:val="26"/>
  </w:num>
  <w:num w:numId="28" w16cid:durableId="553195361">
    <w:abstractNumId w:val="5"/>
  </w:num>
  <w:num w:numId="29" w16cid:durableId="1459907843">
    <w:abstractNumId w:val="13"/>
  </w:num>
  <w:num w:numId="30" w16cid:durableId="468832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19"/>
    <w:rsid w:val="000009FD"/>
    <w:rsid w:val="000109D0"/>
    <w:rsid w:val="000250BD"/>
    <w:rsid w:val="00025B38"/>
    <w:rsid w:val="0003350D"/>
    <w:rsid w:val="00033A52"/>
    <w:rsid w:val="00033D0E"/>
    <w:rsid w:val="000350D6"/>
    <w:rsid w:val="0003597E"/>
    <w:rsid w:val="00045C17"/>
    <w:rsid w:val="0005133C"/>
    <w:rsid w:val="00053891"/>
    <w:rsid w:val="000557CE"/>
    <w:rsid w:val="00062956"/>
    <w:rsid w:val="00080448"/>
    <w:rsid w:val="00086CBF"/>
    <w:rsid w:val="00090877"/>
    <w:rsid w:val="00096DE1"/>
    <w:rsid w:val="000A1717"/>
    <w:rsid w:val="000A1AD8"/>
    <w:rsid w:val="000A31AB"/>
    <w:rsid w:val="000A6B90"/>
    <w:rsid w:val="000A7214"/>
    <w:rsid w:val="000C29C2"/>
    <w:rsid w:val="000C4F5C"/>
    <w:rsid w:val="000C6F06"/>
    <w:rsid w:val="000E3119"/>
    <w:rsid w:val="000E6BEB"/>
    <w:rsid w:val="000F0979"/>
    <w:rsid w:val="000F17FC"/>
    <w:rsid w:val="000F2B8E"/>
    <w:rsid w:val="001029B8"/>
    <w:rsid w:val="00107D73"/>
    <w:rsid w:val="001105E6"/>
    <w:rsid w:val="00110AE4"/>
    <w:rsid w:val="0011256C"/>
    <w:rsid w:val="0011574D"/>
    <w:rsid w:val="00120326"/>
    <w:rsid w:val="00125CAC"/>
    <w:rsid w:val="00127B0A"/>
    <w:rsid w:val="00133037"/>
    <w:rsid w:val="0014167A"/>
    <w:rsid w:val="0014530C"/>
    <w:rsid w:val="00145E4A"/>
    <w:rsid w:val="0014600F"/>
    <w:rsid w:val="001511A3"/>
    <w:rsid w:val="0015461E"/>
    <w:rsid w:val="001624E5"/>
    <w:rsid w:val="001704C4"/>
    <w:rsid w:val="001767C1"/>
    <w:rsid w:val="00181FC6"/>
    <w:rsid w:val="001830D8"/>
    <w:rsid w:val="0018362D"/>
    <w:rsid w:val="00184DA5"/>
    <w:rsid w:val="001851A6"/>
    <w:rsid w:val="001940AA"/>
    <w:rsid w:val="0019577D"/>
    <w:rsid w:val="001A0ABB"/>
    <w:rsid w:val="001A198F"/>
    <w:rsid w:val="001A1F40"/>
    <w:rsid w:val="001B0E3D"/>
    <w:rsid w:val="001B0E93"/>
    <w:rsid w:val="001B1240"/>
    <w:rsid w:val="001C0EFA"/>
    <w:rsid w:val="001D1B86"/>
    <w:rsid w:val="001D1D24"/>
    <w:rsid w:val="001D351C"/>
    <w:rsid w:val="001D68DF"/>
    <w:rsid w:val="001E6AEB"/>
    <w:rsid w:val="001F18CC"/>
    <w:rsid w:val="001F49D0"/>
    <w:rsid w:val="001F69E5"/>
    <w:rsid w:val="00200F39"/>
    <w:rsid w:val="002011C4"/>
    <w:rsid w:val="00201637"/>
    <w:rsid w:val="00201A79"/>
    <w:rsid w:val="0020687D"/>
    <w:rsid w:val="0020794F"/>
    <w:rsid w:val="00213A30"/>
    <w:rsid w:val="00222EC7"/>
    <w:rsid w:val="00224455"/>
    <w:rsid w:val="00224A6B"/>
    <w:rsid w:val="00226910"/>
    <w:rsid w:val="0022698E"/>
    <w:rsid w:val="002314DC"/>
    <w:rsid w:val="00233468"/>
    <w:rsid w:val="00233C35"/>
    <w:rsid w:val="00237379"/>
    <w:rsid w:val="002410E9"/>
    <w:rsid w:val="002426BA"/>
    <w:rsid w:val="00256FFD"/>
    <w:rsid w:val="002632FC"/>
    <w:rsid w:val="00271EB0"/>
    <w:rsid w:val="002765BB"/>
    <w:rsid w:val="00281E73"/>
    <w:rsid w:val="0028377E"/>
    <w:rsid w:val="00284606"/>
    <w:rsid w:val="002913F1"/>
    <w:rsid w:val="00293B8A"/>
    <w:rsid w:val="002944E8"/>
    <w:rsid w:val="002A0D23"/>
    <w:rsid w:val="002A1F35"/>
    <w:rsid w:val="002A229F"/>
    <w:rsid w:val="002A5538"/>
    <w:rsid w:val="002C15C0"/>
    <w:rsid w:val="002C1A15"/>
    <w:rsid w:val="002C648D"/>
    <w:rsid w:val="002D1856"/>
    <w:rsid w:val="002D3564"/>
    <w:rsid w:val="002D4EB1"/>
    <w:rsid w:val="002D62AA"/>
    <w:rsid w:val="002D6A67"/>
    <w:rsid w:val="002E3D6F"/>
    <w:rsid w:val="002E562C"/>
    <w:rsid w:val="002E5BD0"/>
    <w:rsid w:val="002E5E2A"/>
    <w:rsid w:val="002E7987"/>
    <w:rsid w:val="002E7BC1"/>
    <w:rsid w:val="002F06E6"/>
    <w:rsid w:val="002F2864"/>
    <w:rsid w:val="002F2877"/>
    <w:rsid w:val="002F3E70"/>
    <w:rsid w:val="002F5859"/>
    <w:rsid w:val="00300002"/>
    <w:rsid w:val="00302B7B"/>
    <w:rsid w:val="00302E0F"/>
    <w:rsid w:val="00306CCD"/>
    <w:rsid w:val="00310E93"/>
    <w:rsid w:val="00312600"/>
    <w:rsid w:val="003166CB"/>
    <w:rsid w:val="00332832"/>
    <w:rsid w:val="003348DF"/>
    <w:rsid w:val="00336660"/>
    <w:rsid w:val="003369CC"/>
    <w:rsid w:val="00337028"/>
    <w:rsid w:val="00342FEB"/>
    <w:rsid w:val="00344C8E"/>
    <w:rsid w:val="00351A85"/>
    <w:rsid w:val="00354794"/>
    <w:rsid w:val="00355E07"/>
    <w:rsid w:val="00357310"/>
    <w:rsid w:val="00360D0C"/>
    <w:rsid w:val="00360D4C"/>
    <w:rsid w:val="0036360B"/>
    <w:rsid w:val="00363C3E"/>
    <w:rsid w:val="00370302"/>
    <w:rsid w:val="0037125B"/>
    <w:rsid w:val="003721E2"/>
    <w:rsid w:val="0037282E"/>
    <w:rsid w:val="003755D4"/>
    <w:rsid w:val="00380FF6"/>
    <w:rsid w:val="00382395"/>
    <w:rsid w:val="003832C9"/>
    <w:rsid w:val="003862A6"/>
    <w:rsid w:val="003925B0"/>
    <w:rsid w:val="00393B77"/>
    <w:rsid w:val="003941CC"/>
    <w:rsid w:val="00396D90"/>
    <w:rsid w:val="00397AF3"/>
    <w:rsid w:val="003A3FF8"/>
    <w:rsid w:val="003A4329"/>
    <w:rsid w:val="003A4868"/>
    <w:rsid w:val="003A5FD0"/>
    <w:rsid w:val="003A75EC"/>
    <w:rsid w:val="003B0E78"/>
    <w:rsid w:val="003B3746"/>
    <w:rsid w:val="003B5DEE"/>
    <w:rsid w:val="003D095D"/>
    <w:rsid w:val="003D5075"/>
    <w:rsid w:val="003D7AD7"/>
    <w:rsid w:val="003E2613"/>
    <w:rsid w:val="003E433B"/>
    <w:rsid w:val="003E672D"/>
    <w:rsid w:val="003E6B51"/>
    <w:rsid w:val="003E6BB7"/>
    <w:rsid w:val="004031CA"/>
    <w:rsid w:val="004061A5"/>
    <w:rsid w:val="00407542"/>
    <w:rsid w:val="00412726"/>
    <w:rsid w:val="00421E1E"/>
    <w:rsid w:val="00423D60"/>
    <w:rsid w:val="004279ED"/>
    <w:rsid w:val="00431203"/>
    <w:rsid w:val="0043345F"/>
    <w:rsid w:val="00434959"/>
    <w:rsid w:val="00435031"/>
    <w:rsid w:val="004455E4"/>
    <w:rsid w:val="00445B7A"/>
    <w:rsid w:val="00447AB9"/>
    <w:rsid w:val="00451A35"/>
    <w:rsid w:val="0045420A"/>
    <w:rsid w:val="00460DD3"/>
    <w:rsid w:val="0046333A"/>
    <w:rsid w:val="00464BB0"/>
    <w:rsid w:val="00464C93"/>
    <w:rsid w:val="00467F8C"/>
    <w:rsid w:val="00476DDA"/>
    <w:rsid w:val="00480031"/>
    <w:rsid w:val="00482A9C"/>
    <w:rsid w:val="00484550"/>
    <w:rsid w:val="004925D8"/>
    <w:rsid w:val="004960EE"/>
    <w:rsid w:val="0049626E"/>
    <w:rsid w:val="004A03B5"/>
    <w:rsid w:val="004A1D4E"/>
    <w:rsid w:val="004A71AA"/>
    <w:rsid w:val="004B18CA"/>
    <w:rsid w:val="004C14D7"/>
    <w:rsid w:val="004C270E"/>
    <w:rsid w:val="004C56F1"/>
    <w:rsid w:val="004C7BD0"/>
    <w:rsid w:val="004C7BDB"/>
    <w:rsid w:val="004C7F10"/>
    <w:rsid w:val="004D65B9"/>
    <w:rsid w:val="004E4656"/>
    <w:rsid w:val="004E6554"/>
    <w:rsid w:val="004E6CC5"/>
    <w:rsid w:val="004E71E6"/>
    <w:rsid w:val="004F5A64"/>
    <w:rsid w:val="00500E63"/>
    <w:rsid w:val="005011FF"/>
    <w:rsid w:val="0050498C"/>
    <w:rsid w:val="00514D78"/>
    <w:rsid w:val="00515986"/>
    <w:rsid w:val="00526414"/>
    <w:rsid w:val="00526623"/>
    <w:rsid w:val="00531857"/>
    <w:rsid w:val="00533B54"/>
    <w:rsid w:val="00533CBB"/>
    <w:rsid w:val="00540651"/>
    <w:rsid w:val="00540F2C"/>
    <w:rsid w:val="0054137A"/>
    <w:rsid w:val="00546DCB"/>
    <w:rsid w:val="00547C48"/>
    <w:rsid w:val="00552527"/>
    <w:rsid w:val="005548F9"/>
    <w:rsid w:val="005557C5"/>
    <w:rsid w:val="0056119B"/>
    <w:rsid w:val="005649BB"/>
    <w:rsid w:val="00564BD5"/>
    <w:rsid w:val="00572725"/>
    <w:rsid w:val="00572FFE"/>
    <w:rsid w:val="00574256"/>
    <w:rsid w:val="005761E5"/>
    <w:rsid w:val="0057644E"/>
    <w:rsid w:val="005827A0"/>
    <w:rsid w:val="00585A95"/>
    <w:rsid w:val="00586465"/>
    <w:rsid w:val="00587830"/>
    <w:rsid w:val="005A01E6"/>
    <w:rsid w:val="005A0B2A"/>
    <w:rsid w:val="005A1B7C"/>
    <w:rsid w:val="005A24BC"/>
    <w:rsid w:val="005A2C47"/>
    <w:rsid w:val="005A3726"/>
    <w:rsid w:val="005B5D7E"/>
    <w:rsid w:val="005D08C2"/>
    <w:rsid w:val="005D370B"/>
    <w:rsid w:val="005D513A"/>
    <w:rsid w:val="005E0DC5"/>
    <w:rsid w:val="005E2E05"/>
    <w:rsid w:val="005E42A6"/>
    <w:rsid w:val="005E5894"/>
    <w:rsid w:val="005E59D8"/>
    <w:rsid w:val="005E68D8"/>
    <w:rsid w:val="005F2376"/>
    <w:rsid w:val="005F35E6"/>
    <w:rsid w:val="005F6259"/>
    <w:rsid w:val="006002C8"/>
    <w:rsid w:val="006007FA"/>
    <w:rsid w:val="00602740"/>
    <w:rsid w:val="00604F16"/>
    <w:rsid w:val="006166D4"/>
    <w:rsid w:val="00622FCA"/>
    <w:rsid w:val="00623F48"/>
    <w:rsid w:val="00626726"/>
    <w:rsid w:val="00630280"/>
    <w:rsid w:val="00645EB7"/>
    <w:rsid w:val="0064620F"/>
    <w:rsid w:val="006479F0"/>
    <w:rsid w:val="00650B0E"/>
    <w:rsid w:val="00657C5F"/>
    <w:rsid w:val="00664B3A"/>
    <w:rsid w:val="00673EA9"/>
    <w:rsid w:val="00674DA8"/>
    <w:rsid w:val="006759E2"/>
    <w:rsid w:val="006816BE"/>
    <w:rsid w:val="00692251"/>
    <w:rsid w:val="006A06D7"/>
    <w:rsid w:val="006A6153"/>
    <w:rsid w:val="006A6512"/>
    <w:rsid w:val="006B1E96"/>
    <w:rsid w:val="006B2ACC"/>
    <w:rsid w:val="006B341B"/>
    <w:rsid w:val="006B49AC"/>
    <w:rsid w:val="006B6E69"/>
    <w:rsid w:val="006B7EFE"/>
    <w:rsid w:val="006C02FF"/>
    <w:rsid w:val="006C3897"/>
    <w:rsid w:val="006C5624"/>
    <w:rsid w:val="006D645E"/>
    <w:rsid w:val="006E1230"/>
    <w:rsid w:val="006E189E"/>
    <w:rsid w:val="006E1E57"/>
    <w:rsid w:val="006E68E2"/>
    <w:rsid w:val="006E71CC"/>
    <w:rsid w:val="006E7E83"/>
    <w:rsid w:val="006F223F"/>
    <w:rsid w:val="006F6CFA"/>
    <w:rsid w:val="007018ED"/>
    <w:rsid w:val="00704E1A"/>
    <w:rsid w:val="00705234"/>
    <w:rsid w:val="007058F0"/>
    <w:rsid w:val="00707855"/>
    <w:rsid w:val="00707F72"/>
    <w:rsid w:val="00714AE8"/>
    <w:rsid w:val="0071557D"/>
    <w:rsid w:val="00716DB8"/>
    <w:rsid w:val="00722E04"/>
    <w:rsid w:val="007230F1"/>
    <w:rsid w:val="0072663F"/>
    <w:rsid w:val="00733EF2"/>
    <w:rsid w:val="007352A2"/>
    <w:rsid w:val="00737E02"/>
    <w:rsid w:val="00760442"/>
    <w:rsid w:val="00760DA3"/>
    <w:rsid w:val="00761CC3"/>
    <w:rsid w:val="00762A77"/>
    <w:rsid w:val="00770064"/>
    <w:rsid w:val="0077043B"/>
    <w:rsid w:val="00774B54"/>
    <w:rsid w:val="00776639"/>
    <w:rsid w:val="00776870"/>
    <w:rsid w:val="00781CA4"/>
    <w:rsid w:val="007831A9"/>
    <w:rsid w:val="00784204"/>
    <w:rsid w:val="00787E53"/>
    <w:rsid w:val="007904B4"/>
    <w:rsid w:val="007961DF"/>
    <w:rsid w:val="00796B02"/>
    <w:rsid w:val="00797349"/>
    <w:rsid w:val="007A5336"/>
    <w:rsid w:val="007B04E7"/>
    <w:rsid w:val="007C6D19"/>
    <w:rsid w:val="007C7B9F"/>
    <w:rsid w:val="007D0497"/>
    <w:rsid w:val="007D70AA"/>
    <w:rsid w:val="007E2DB6"/>
    <w:rsid w:val="007E7CEE"/>
    <w:rsid w:val="007F0BF6"/>
    <w:rsid w:val="007F3478"/>
    <w:rsid w:val="00801ED7"/>
    <w:rsid w:val="008074B1"/>
    <w:rsid w:val="00807EED"/>
    <w:rsid w:val="008204D5"/>
    <w:rsid w:val="00822619"/>
    <w:rsid w:val="00827054"/>
    <w:rsid w:val="00833505"/>
    <w:rsid w:val="00835B48"/>
    <w:rsid w:val="00851853"/>
    <w:rsid w:val="00855B18"/>
    <w:rsid w:val="008568AE"/>
    <w:rsid w:val="00857621"/>
    <w:rsid w:val="00860BD1"/>
    <w:rsid w:val="00871FF1"/>
    <w:rsid w:val="00872FBC"/>
    <w:rsid w:val="00873503"/>
    <w:rsid w:val="008755BE"/>
    <w:rsid w:val="008767B6"/>
    <w:rsid w:val="00883737"/>
    <w:rsid w:val="00884A6F"/>
    <w:rsid w:val="00887966"/>
    <w:rsid w:val="0089034A"/>
    <w:rsid w:val="00892793"/>
    <w:rsid w:val="008968D7"/>
    <w:rsid w:val="008B6B5B"/>
    <w:rsid w:val="008C03C2"/>
    <w:rsid w:val="008D06C6"/>
    <w:rsid w:val="008D0BCD"/>
    <w:rsid w:val="008D2A03"/>
    <w:rsid w:val="008D3F8E"/>
    <w:rsid w:val="008D44A1"/>
    <w:rsid w:val="008D6649"/>
    <w:rsid w:val="008D7313"/>
    <w:rsid w:val="008E2332"/>
    <w:rsid w:val="008E7992"/>
    <w:rsid w:val="008F4571"/>
    <w:rsid w:val="009034D1"/>
    <w:rsid w:val="009070A9"/>
    <w:rsid w:val="0091232A"/>
    <w:rsid w:val="00916379"/>
    <w:rsid w:val="0092042F"/>
    <w:rsid w:val="009256A0"/>
    <w:rsid w:val="00927332"/>
    <w:rsid w:val="009309E9"/>
    <w:rsid w:val="00935E76"/>
    <w:rsid w:val="0093712F"/>
    <w:rsid w:val="00941066"/>
    <w:rsid w:val="009443A6"/>
    <w:rsid w:val="00944889"/>
    <w:rsid w:val="00945B6A"/>
    <w:rsid w:val="00947660"/>
    <w:rsid w:val="009506BA"/>
    <w:rsid w:val="00953541"/>
    <w:rsid w:val="0095445F"/>
    <w:rsid w:val="00954534"/>
    <w:rsid w:val="00957C6D"/>
    <w:rsid w:val="00972F39"/>
    <w:rsid w:val="009765F8"/>
    <w:rsid w:val="0097730E"/>
    <w:rsid w:val="00977653"/>
    <w:rsid w:val="0098436B"/>
    <w:rsid w:val="009A4519"/>
    <w:rsid w:val="009A618C"/>
    <w:rsid w:val="009B023C"/>
    <w:rsid w:val="009B334B"/>
    <w:rsid w:val="009B5F6C"/>
    <w:rsid w:val="009B7B72"/>
    <w:rsid w:val="009C425F"/>
    <w:rsid w:val="009C56A4"/>
    <w:rsid w:val="009C7888"/>
    <w:rsid w:val="009D181E"/>
    <w:rsid w:val="009D7055"/>
    <w:rsid w:val="009E1542"/>
    <w:rsid w:val="009E34B4"/>
    <w:rsid w:val="009E448A"/>
    <w:rsid w:val="009E7D3F"/>
    <w:rsid w:val="009E7EAB"/>
    <w:rsid w:val="009F20BD"/>
    <w:rsid w:val="009F2508"/>
    <w:rsid w:val="009F4571"/>
    <w:rsid w:val="009F6386"/>
    <w:rsid w:val="00A04807"/>
    <w:rsid w:val="00A0519D"/>
    <w:rsid w:val="00A16AB0"/>
    <w:rsid w:val="00A1749A"/>
    <w:rsid w:val="00A20666"/>
    <w:rsid w:val="00A21844"/>
    <w:rsid w:val="00A375AA"/>
    <w:rsid w:val="00A379E9"/>
    <w:rsid w:val="00A4012B"/>
    <w:rsid w:val="00A4501E"/>
    <w:rsid w:val="00A549A8"/>
    <w:rsid w:val="00A55721"/>
    <w:rsid w:val="00A56004"/>
    <w:rsid w:val="00A56396"/>
    <w:rsid w:val="00A5664E"/>
    <w:rsid w:val="00A56E76"/>
    <w:rsid w:val="00A63A66"/>
    <w:rsid w:val="00A644D6"/>
    <w:rsid w:val="00A64CB3"/>
    <w:rsid w:val="00A6697A"/>
    <w:rsid w:val="00A7074C"/>
    <w:rsid w:val="00A71655"/>
    <w:rsid w:val="00A720CA"/>
    <w:rsid w:val="00A727A7"/>
    <w:rsid w:val="00A74001"/>
    <w:rsid w:val="00A76E01"/>
    <w:rsid w:val="00A83763"/>
    <w:rsid w:val="00A8761F"/>
    <w:rsid w:val="00A93013"/>
    <w:rsid w:val="00A94E9D"/>
    <w:rsid w:val="00AA2432"/>
    <w:rsid w:val="00AA60DA"/>
    <w:rsid w:val="00AB1521"/>
    <w:rsid w:val="00AB22BE"/>
    <w:rsid w:val="00AB3659"/>
    <w:rsid w:val="00AB5956"/>
    <w:rsid w:val="00AC2A11"/>
    <w:rsid w:val="00AC631D"/>
    <w:rsid w:val="00AD0E88"/>
    <w:rsid w:val="00AD4267"/>
    <w:rsid w:val="00AD4E9A"/>
    <w:rsid w:val="00AE14CF"/>
    <w:rsid w:val="00AE2EFB"/>
    <w:rsid w:val="00AE724F"/>
    <w:rsid w:val="00B024D9"/>
    <w:rsid w:val="00B10190"/>
    <w:rsid w:val="00B12725"/>
    <w:rsid w:val="00B12F81"/>
    <w:rsid w:val="00B13BDC"/>
    <w:rsid w:val="00B204E6"/>
    <w:rsid w:val="00B43E79"/>
    <w:rsid w:val="00B53425"/>
    <w:rsid w:val="00B54B1F"/>
    <w:rsid w:val="00B57524"/>
    <w:rsid w:val="00B62AD6"/>
    <w:rsid w:val="00B62DDA"/>
    <w:rsid w:val="00B6324F"/>
    <w:rsid w:val="00B651D0"/>
    <w:rsid w:val="00B66103"/>
    <w:rsid w:val="00B7082A"/>
    <w:rsid w:val="00B71EB4"/>
    <w:rsid w:val="00B72A85"/>
    <w:rsid w:val="00B72D51"/>
    <w:rsid w:val="00B7359A"/>
    <w:rsid w:val="00B755AF"/>
    <w:rsid w:val="00B767D6"/>
    <w:rsid w:val="00B852FC"/>
    <w:rsid w:val="00B91CC3"/>
    <w:rsid w:val="00B92C6C"/>
    <w:rsid w:val="00B93B46"/>
    <w:rsid w:val="00B951FC"/>
    <w:rsid w:val="00BA1713"/>
    <w:rsid w:val="00BA4485"/>
    <w:rsid w:val="00BA45E5"/>
    <w:rsid w:val="00BB0312"/>
    <w:rsid w:val="00BC100A"/>
    <w:rsid w:val="00BC6CD1"/>
    <w:rsid w:val="00BD02BD"/>
    <w:rsid w:val="00BD2C1E"/>
    <w:rsid w:val="00BD301A"/>
    <w:rsid w:val="00BD4A1A"/>
    <w:rsid w:val="00BE5705"/>
    <w:rsid w:val="00BE6D9B"/>
    <w:rsid w:val="00C016ED"/>
    <w:rsid w:val="00C02D37"/>
    <w:rsid w:val="00C06760"/>
    <w:rsid w:val="00C129A3"/>
    <w:rsid w:val="00C17217"/>
    <w:rsid w:val="00C32FCE"/>
    <w:rsid w:val="00C354CF"/>
    <w:rsid w:val="00C360A2"/>
    <w:rsid w:val="00C44FBA"/>
    <w:rsid w:val="00C47CCB"/>
    <w:rsid w:val="00C509A8"/>
    <w:rsid w:val="00C52FB1"/>
    <w:rsid w:val="00C565C6"/>
    <w:rsid w:val="00C56D21"/>
    <w:rsid w:val="00C57799"/>
    <w:rsid w:val="00C65CC1"/>
    <w:rsid w:val="00C668F8"/>
    <w:rsid w:val="00C73408"/>
    <w:rsid w:val="00C74274"/>
    <w:rsid w:val="00C76363"/>
    <w:rsid w:val="00C8133B"/>
    <w:rsid w:val="00C8154C"/>
    <w:rsid w:val="00C82975"/>
    <w:rsid w:val="00C83269"/>
    <w:rsid w:val="00C83A55"/>
    <w:rsid w:val="00C85B3C"/>
    <w:rsid w:val="00C93BC2"/>
    <w:rsid w:val="00CA5248"/>
    <w:rsid w:val="00CA6A53"/>
    <w:rsid w:val="00CA6FA6"/>
    <w:rsid w:val="00CB2D1E"/>
    <w:rsid w:val="00CC0DEA"/>
    <w:rsid w:val="00CC4A9C"/>
    <w:rsid w:val="00CC5AB6"/>
    <w:rsid w:val="00CC6D65"/>
    <w:rsid w:val="00CC796D"/>
    <w:rsid w:val="00CD1922"/>
    <w:rsid w:val="00CD1B4F"/>
    <w:rsid w:val="00CD66E8"/>
    <w:rsid w:val="00CE1E72"/>
    <w:rsid w:val="00CE2292"/>
    <w:rsid w:val="00CE3620"/>
    <w:rsid w:val="00CE6861"/>
    <w:rsid w:val="00CE6E68"/>
    <w:rsid w:val="00D00667"/>
    <w:rsid w:val="00D0457E"/>
    <w:rsid w:val="00D07400"/>
    <w:rsid w:val="00D23D14"/>
    <w:rsid w:val="00D2574F"/>
    <w:rsid w:val="00D30660"/>
    <w:rsid w:val="00D30BBC"/>
    <w:rsid w:val="00D32974"/>
    <w:rsid w:val="00D33263"/>
    <w:rsid w:val="00D3355D"/>
    <w:rsid w:val="00D342F7"/>
    <w:rsid w:val="00D3448A"/>
    <w:rsid w:val="00D3591D"/>
    <w:rsid w:val="00D3641D"/>
    <w:rsid w:val="00D427BF"/>
    <w:rsid w:val="00D42A0C"/>
    <w:rsid w:val="00D44AD9"/>
    <w:rsid w:val="00D52C18"/>
    <w:rsid w:val="00D53023"/>
    <w:rsid w:val="00D549C9"/>
    <w:rsid w:val="00D55ADF"/>
    <w:rsid w:val="00D57AB2"/>
    <w:rsid w:val="00D600CD"/>
    <w:rsid w:val="00D61727"/>
    <w:rsid w:val="00D625E9"/>
    <w:rsid w:val="00D64119"/>
    <w:rsid w:val="00D727C1"/>
    <w:rsid w:val="00D74746"/>
    <w:rsid w:val="00D83073"/>
    <w:rsid w:val="00D83C4B"/>
    <w:rsid w:val="00D930B0"/>
    <w:rsid w:val="00DA0B9C"/>
    <w:rsid w:val="00DA2256"/>
    <w:rsid w:val="00DA5612"/>
    <w:rsid w:val="00DB3F01"/>
    <w:rsid w:val="00DB5593"/>
    <w:rsid w:val="00DB5FF1"/>
    <w:rsid w:val="00DC48E3"/>
    <w:rsid w:val="00DE036E"/>
    <w:rsid w:val="00DE3A1B"/>
    <w:rsid w:val="00DF6D0B"/>
    <w:rsid w:val="00E0273A"/>
    <w:rsid w:val="00E027E8"/>
    <w:rsid w:val="00E04675"/>
    <w:rsid w:val="00E04CBE"/>
    <w:rsid w:val="00E17B55"/>
    <w:rsid w:val="00E238B4"/>
    <w:rsid w:val="00E25A0F"/>
    <w:rsid w:val="00E26640"/>
    <w:rsid w:val="00E272D9"/>
    <w:rsid w:val="00E278ED"/>
    <w:rsid w:val="00E4229B"/>
    <w:rsid w:val="00E44D92"/>
    <w:rsid w:val="00E55570"/>
    <w:rsid w:val="00E57D18"/>
    <w:rsid w:val="00E60CD1"/>
    <w:rsid w:val="00E61501"/>
    <w:rsid w:val="00E65429"/>
    <w:rsid w:val="00E65C6C"/>
    <w:rsid w:val="00E71CA4"/>
    <w:rsid w:val="00E7590A"/>
    <w:rsid w:val="00E80B01"/>
    <w:rsid w:val="00E84ABD"/>
    <w:rsid w:val="00E84DF1"/>
    <w:rsid w:val="00E938A8"/>
    <w:rsid w:val="00E96785"/>
    <w:rsid w:val="00E968EE"/>
    <w:rsid w:val="00EB3D35"/>
    <w:rsid w:val="00EC0E21"/>
    <w:rsid w:val="00EC4D63"/>
    <w:rsid w:val="00EC74C7"/>
    <w:rsid w:val="00ED1302"/>
    <w:rsid w:val="00ED2140"/>
    <w:rsid w:val="00ED222C"/>
    <w:rsid w:val="00EE0B1E"/>
    <w:rsid w:val="00EE4269"/>
    <w:rsid w:val="00EE5600"/>
    <w:rsid w:val="00EF0C27"/>
    <w:rsid w:val="00EF1DD1"/>
    <w:rsid w:val="00EF1F88"/>
    <w:rsid w:val="00EF2293"/>
    <w:rsid w:val="00EF249D"/>
    <w:rsid w:val="00EF24C2"/>
    <w:rsid w:val="00EF607A"/>
    <w:rsid w:val="00EF735E"/>
    <w:rsid w:val="00EF778D"/>
    <w:rsid w:val="00F00C2C"/>
    <w:rsid w:val="00F045BC"/>
    <w:rsid w:val="00F1431B"/>
    <w:rsid w:val="00F1626B"/>
    <w:rsid w:val="00F17BFF"/>
    <w:rsid w:val="00F20EFB"/>
    <w:rsid w:val="00F21B9F"/>
    <w:rsid w:val="00F24A79"/>
    <w:rsid w:val="00F361FE"/>
    <w:rsid w:val="00F3626A"/>
    <w:rsid w:val="00F41675"/>
    <w:rsid w:val="00F479F5"/>
    <w:rsid w:val="00F50352"/>
    <w:rsid w:val="00F51428"/>
    <w:rsid w:val="00F517CD"/>
    <w:rsid w:val="00F5362F"/>
    <w:rsid w:val="00F55457"/>
    <w:rsid w:val="00F56417"/>
    <w:rsid w:val="00F665BA"/>
    <w:rsid w:val="00F67CF7"/>
    <w:rsid w:val="00F70116"/>
    <w:rsid w:val="00F75A69"/>
    <w:rsid w:val="00F80220"/>
    <w:rsid w:val="00F84336"/>
    <w:rsid w:val="00F92D98"/>
    <w:rsid w:val="00F94C21"/>
    <w:rsid w:val="00FA2D63"/>
    <w:rsid w:val="00FA64F1"/>
    <w:rsid w:val="00FA7EEF"/>
    <w:rsid w:val="00FB56F7"/>
    <w:rsid w:val="00FC0DE3"/>
    <w:rsid w:val="00FC1364"/>
    <w:rsid w:val="00FC1426"/>
    <w:rsid w:val="00FC14CD"/>
    <w:rsid w:val="00FC34C5"/>
    <w:rsid w:val="00FC4314"/>
    <w:rsid w:val="00FC7B56"/>
    <w:rsid w:val="00FD1B4E"/>
    <w:rsid w:val="00FE0414"/>
    <w:rsid w:val="00FE4557"/>
    <w:rsid w:val="00FE533C"/>
    <w:rsid w:val="00FE5BE8"/>
    <w:rsid w:val="00FE6D53"/>
    <w:rsid w:val="00FF01EA"/>
    <w:rsid w:val="00FF1CB7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6883"/>
  <w15:chartTrackingRefBased/>
  <w15:docId w15:val="{EC68D65B-5E10-4DED-9FC4-BE39335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2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7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3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mgdetail-intro">
    <w:name w:val="rmgdetail-intro"/>
    <w:basedOn w:val="Normal"/>
    <w:rsid w:val="00A7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ast-paragraph">
    <w:name w:val="last-paragraph"/>
    <w:basedOn w:val="Normal"/>
    <w:rsid w:val="00A7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A720C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ev">
    <w:name w:val="Strong"/>
    <w:basedOn w:val="Policepardfaut"/>
    <w:uiPriority w:val="22"/>
    <w:qFormat/>
    <w:rsid w:val="00A720CA"/>
    <w:rPr>
      <w:b/>
      <w:bCs/>
    </w:rPr>
  </w:style>
  <w:style w:type="character" w:styleId="Lienhypertexte">
    <w:name w:val="Hyperlink"/>
    <w:basedOn w:val="Policepardfaut"/>
    <w:uiPriority w:val="99"/>
    <w:unhideWhenUsed/>
    <w:rsid w:val="00A720CA"/>
    <w:rPr>
      <w:color w:val="0000FF"/>
      <w:u w:val="single"/>
    </w:rPr>
  </w:style>
  <w:style w:type="character" w:customStyle="1" w:styleId="c-quoteinsetballoontext">
    <w:name w:val="c-quoteinset__balloon__text"/>
    <w:basedOn w:val="Policepardfaut"/>
    <w:rsid w:val="00A720CA"/>
  </w:style>
  <w:style w:type="character" w:customStyle="1" w:styleId="sr-only">
    <w:name w:val="sr-only"/>
    <w:basedOn w:val="Policepardfaut"/>
    <w:rsid w:val="00A720CA"/>
  </w:style>
  <w:style w:type="character" w:customStyle="1" w:styleId="fichelettrine">
    <w:name w:val="fichelettrine"/>
    <w:basedOn w:val="Policepardfaut"/>
    <w:rsid w:val="009C7888"/>
  </w:style>
  <w:style w:type="character" w:customStyle="1" w:styleId="Titre1Car">
    <w:name w:val="Titre 1 Car"/>
    <w:basedOn w:val="Policepardfaut"/>
    <w:link w:val="Titre1"/>
    <w:uiPriority w:val="9"/>
    <w:rsid w:val="00EF2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F229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2293"/>
    <w:rPr>
      <w:rFonts w:ascii="Calibri" w:eastAsia="Calibri" w:hAnsi="Calibri" w:cs="Times New Roman"/>
      <w:szCs w:val="21"/>
    </w:rPr>
  </w:style>
  <w:style w:type="character" w:styleId="Accentuation">
    <w:name w:val="Emphasis"/>
    <w:basedOn w:val="Policepardfaut"/>
    <w:uiPriority w:val="20"/>
    <w:qFormat/>
    <w:rsid w:val="00EF2293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6A53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B43E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A4868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customStyle="1" w:styleId="Body">
    <w:name w:val="Body"/>
    <w:basedOn w:val="Normal"/>
    <w:qFormat/>
    <w:rsid w:val="003A4868"/>
    <w:pPr>
      <w:tabs>
        <w:tab w:val="left" w:pos="1275"/>
      </w:tabs>
      <w:spacing w:line="240" w:lineRule="auto"/>
      <w:jc w:val="both"/>
    </w:pPr>
    <w:rPr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6B7EFE"/>
    <w:rPr>
      <w:rFonts w:ascii="Calibri" w:hAnsi="Calibri" w:cs="Times New Roman"/>
    </w:rPr>
  </w:style>
  <w:style w:type="character" w:customStyle="1" w:styleId="drop-cap">
    <w:name w:val="drop-cap"/>
    <w:basedOn w:val="Policepardfaut"/>
    <w:rsid w:val="00E26640"/>
  </w:style>
  <w:style w:type="character" w:customStyle="1" w:styleId="c-relatedarticleslisttitletxt">
    <w:name w:val="c-relatedarticleslist__title__txt"/>
    <w:basedOn w:val="Policepardfaut"/>
    <w:rsid w:val="0045420A"/>
  </w:style>
  <w:style w:type="paragraph" w:styleId="En-tte">
    <w:name w:val="header"/>
    <w:basedOn w:val="Normal"/>
    <w:link w:val="En-tteCar"/>
    <w:uiPriority w:val="99"/>
    <w:unhideWhenUsed/>
    <w:rsid w:val="00FE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414"/>
  </w:style>
  <w:style w:type="paragraph" w:styleId="Pieddepage">
    <w:name w:val="footer"/>
    <w:basedOn w:val="Normal"/>
    <w:link w:val="PieddepageCar"/>
    <w:uiPriority w:val="99"/>
    <w:unhideWhenUsed/>
    <w:rsid w:val="00FE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414"/>
  </w:style>
  <w:style w:type="paragraph" w:customStyle="1" w:styleId="Chapitre">
    <w:name w:val="Chapitre"/>
    <w:basedOn w:val="Normal"/>
    <w:qFormat/>
    <w:rsid w:val="00C016ED"/>
    <w:pPr>
      <w:pBdr>
        <w:bottom w:val="single" w:sz="4" w:space="1" w:color="9AC331"/>
      </w:pBdr>
      <w:spacing w:line="256" w:lineRule="auto"/>
      <w:jc w:val="both"/>
    </w:pPr>
    <w:rPr>
      <w:b/>
      <w:bCs/>
      <w:color w:val="1E90D0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56119B"/>
    <w:rPr>
      <w:color w:val="605E5C"/>
      <w:shd w:val="clear" w:color="auto" w:fill="E1DFDD"/>
    </w:rPr>
  </w:style>
  <w:style w:type="paragraph" w:customStyle="1" w:styleId="fig-standfirst">
    <w:name w:val="fig-standfirst"/>
    <w:basedOn w:val="Normal"/>
    <w:rsid w:val="00B7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427">
                  <w:marLeft w:val="0"/>
                  <w:marRight w:val="0"/>
                  <w:marTop w:val="0"/>
                  <w:marBottom w:val="450"/>
                  <w:divBdr>
                    <w:top w:val="single" w:sz="6" w:space="6" w:color="CCCCCC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</w:divsChild>
        </w:div>
        <w:div w:id="324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348">
          <w:marLeft w:val="-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3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6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0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912">
          <w:marLeft w:val="-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12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5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thiebaut@portdelieg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1918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Thiébaut</dc:creator>
  <cp:keywords/>
  <dc:description/>
  <cp:lastModifiedBy>PAL - Hélène Thiébaut</cp:lastModifiedBy>
  <cp:revision>65</cp:revision>
  <cp:lastPrinted>2024-02-20T11:33:00Z</cp:lastPrinted>
  <dcterms:created xsi:type="dcterms:W3CDTF">2024-02-20T15:47:00Z</dcterms:created>
  <dcterms:modified xsi:type="dcterms:W3CDTF">2024-03-20T16:11:00Z</dcterms:modified>
</cp:coreProperties>
</file>